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4.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nikto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Научится пользоватся nikto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проверить устоновлин ли nikto</w:t>
      </w:r>
    </w:p>
    <w:p>
      <w:pPr>
        <w:pStyle w:val="Compact"/>
        <w:numPr>
          <w:ilvl w:val="0"/>
          <w:numId w:val="1001"/>
        </w:numPr>
      </w:pPr>
      <w:r>
        <w:t xml:space="preserve">воспользоватся nikto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Проверяем устоновлен ли nikto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BodyText"/>
      </w:pPr>
      <w:r>
        <w:t xml:space="preserve">запускаем nikto на нашь DVWA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пользоваться nikto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4.</dc:title>
  <dc:creator>Глобин Никита Анатольевич</dc:creator>
  <dc:language>ru-RU</dc:language>
  <cp:keywords/>
  <dcterms:created xsi:type="dcterms:W3CDTF">2026-05-01T08:14:00Z</dcterms:created>
  <dcterms:modified xsi:type="dcterms:W3CDTF">2026-05-01T08:14:00Z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Использование nikto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