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Два</w:t>
      </w:r>
      <w:r>
        <w:t xml:space="preserve"> </w:t>
      </w:r>
      <w:r>
        <w:t xml:space="preserve">пользователя</w:t>
      </w:r>
    </w:p>
    <w:p>
      <w:pPr>
        <w:pStyle w:val="Author"/>
      </w:pPr>
      <w:r>
        <w:t xml:space="preserve">Глобин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Анатольевич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фай-</w:t>
      </w:r>
      <w:r>
        <w:t xml:space="preserve"> </w:t>
      </w:r>
      <w:r>
        <w:t xml:space="preserve">лов для групп пользователей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пользователей</w:t>
      </w:r>
    </w:p>
    <w:p>
      <w:pPr>
        <w:pStyle w:val="Compact"/>
        <w:numPr>
          <w:ilvl w:val="0"/>
          <w:numId w:val="1001"/>
        </w:numPr>
      </w:pPr>
      <w:r>
        <w:t xml:space="preserve">настроить пользователей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</w:p>
    <w:bookmarkEnd w:id="21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 установленной операционной системе создайте учётную запись поль-</w:t>
      </w:r>
      <w:r>
        <w:t xml:space="preserve"> </w:t>
      </w:r>
      <w:r>
        <w:t xml:space="preserve">зователя guest (использую учётную запись администратора):</w:t>
      </w:r>
      <w:r>
        <w:t xml:space="preserve"> </w:t>
      </w:r>
      <w:r>
        <w:t xml:space="preserve">useradd guest(рис.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001</w:t>
      </w:r>
    </w:p>
    <w:p>
      <w:pPr>
        <w:pStyle w:val="Compact"/>
        <w:numPr>
          <w:ilvl w:val="0"/>
          <w:numId w:val="1003"/>
        </w:numPr>
      </w:pPr>
      <w:r>
        <w:t xml:space="preserve">Задайте пароль для пользователя guest (использую учётную запись ад-</w:t>
      </w:r>
      <w:r>
        <w:t xml:space="preserve"> </w:t>
      </w:r>
      <w:r>
        <w:t xml:space="preserve">министратора)(рис.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002</w:t>
      </w:r>
    </w:p>
    <w:p>
      <w:pPr>
        <w:pStyle w:val="Compact"/>
        <w:numPr>
          <w:ilvl w:val="0"/>
          <w:numId w:val="1004"/>
        </w:numPr>
      </w:pPr>
      <w:r>
        <w:t xml:space="preserve">Аналогично создайте второго пользователя guest2.(рис.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003</w:t>
      </w:r>
    </w:p>
    <w:p>
      <w:pPr>
        <w:pStyle w:val="Compact"/>
        <w:numPr>
          <w:ilvl w:val="0"/>
          <w:numId w:val="1005"/>
        </w:numPr>
      </w:pPr>
      <w:r>
        <w:t xml:space="preserve">Добавьте пользователя guest2 в группу guest(рис.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004</w:t>
      </w:r>
    </w:p>
    <w:p>
      <w:pPr>
        <w:pStyle w:val="Compact"/>
        <w:numPr>
          <w:ilvl w:val="0"/>
          <w:numId w:val="1006"/>
        </w:numPr>
      </w:pPr>
      <w:r>
        <w:t xml:space="preserve">Осуществите вход в систему от двух пользователей на двух разных кон-</w:t>
      </w:r>
      <w:r>
        <w:t xml:space="preserve"> </w:t>
      </w:r>
      <w:r>
        <w:t xml:space="preserve">солях: guest на первой консоли и guest2 на второй консоли(рис.</w:t>
      </w:r>
      <w:r>
        <w:t xml:space="preserve"> </w:t>
      </w:r>
      <w:r>
        <w:rPr>
          <w:b/>
          <w:bCs/>
        </w:rPr>
        <w:t xml:space="preserve">¿fig:005?</w:t>
      </w:r>
      <w:r>
        <w:t xml:space="preserve">)(рис. 5).</w:t>
      </w:r>
    </w:p>
    <w:p>
      <w:pPr>
        <w:pStyle w:val="FirstParagraph"/>
      </w:pPr>
      <w:bookmarkStart w:id="37" w:name="fig:005"/>
      <w:r>
        <w:drawing>
          <wp:inline>
            <wp:extent cx="3733800" cy="2100262"/>
            <wp:effectExtent b="0" l="0" r="0" t="0"/>
            <wp:docPr descr="005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6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006</w:t>
      </w:r>
    </w:p>
    <w:p>
      <w:pPr>
        <w:pStyle w:val="Compact"/>
        <w:numPr>
          <w:ilvl w:val="0"/>
          <w:numId w:val="1007"/>
        </w:numPr>
      </w:pPr>
      <w:r>
        <w:t xml:space="preserve">Для обоих пользователей командой pwd определите директорию, в кото-</w:t>
      </w:r>
      <w:r>
        <w:t xml:space="preserve"> </w:t>
      </w:r>
      <w:r>
        <w:t xml:space="preserve">рой вы находитесь. (рис.</w:t>
      </w:r>
      <w:r>
        <w:t xml:space="preserve"> </w:t>
      </w:r>
      <w:r>
        <w:rPr>
          <w:b/>
          <w:bCs/>
        </w:rPr>
        <w:t xml:space="preserve">¿fig:007?</w:t>
      </w:r>
      <w:r>
        <w:t xml:space="preserve">)(рис. 6).</w:t>
      </w:r>
    </w:p>
    <w:p>
      <w:pPr>
        <w:pStyle w:val="FirstParagraph"/>
      </w:pPr>
      <w:bookmarkStart w:id="44" w:name="fig:007"/>
      <w:r>
        <w:drawing>
          <wp:inline>
            <wp:extent cx="3733800" cy="2100262"/>
            <wp:effectExtent b="0" l="0" r="0" t="0"/>
            <wp:docPr descr="007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8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008</w:t>
      </w:r>
    </w:p>
    <w:p>
      <w:pPr>
        <w:pStyle w:val="Compact"/>
        <w:numPr>
          <w:ilvl w:val="0"/>
          <w:numId w:val="1008"/>
        </w:numPr>
      </w:pPr>
      <w:r>
        <w:t xml:space="preserve">Уточните имя вашего пользователя, его группу, кто входит в неё</w:t>
      </w:r>
      <w:r>
        <w:t xml:space="preserve"> </w:t>
      </w:r>
      <w:r>
        <w:t xml:space="preserve">и к каким группам принадлежит он сам. (рис.</w:t>
      </w:r>
      <w:r>
        <w:t xml:space="preserve"> </w:t>
      </w:r>
      <w:r>
        <w:rPr>
          <w:b/>
          <w:bCs/>
        </w:rPr>
        <w:t xml:space="preserve">¿fig:009?</w:t>
      </w:r>
      <w:r>
        <w:t xml:space="preserve">)(рис. 7).</w:t>
      </w:r>
    </w:p>
    <w:p>
      <w:pPr>
        <w:pStyle w:val="FirstParagraph"/>
      </w:pPr>
      <w:bookmarkStart w:id="51" w:name="fig:009"/>
      <w:r>
        <w:drawing>
          <wp:inline>
            <wp:extent cx="3733800" cy="2100262"/>
            <wp:effectExtent b="0" l="0" r="0" t="0"/>
            <wp:docPr descr="009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0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010</w:t>
      </w:r>
    </w:p>
    <w:p>
      <w:pPr>
        <w:pStyle w:val="Compact"/>
        <w:numPr>
          <w:ilvl w:val="0"/>
          <w:numId w:val="1009"/>
        </w:numPr>
      </w:pPr>
      <w:r>
        <w:t xml:space="preserve">Сравните полученную информацию с содержимым файла /etc/group.</w:t>
      </w:r>
      <w:r>
        <w:t xml:space="preserve"> </w:t>
      </w:r>
      <w:r>
        <w:t xml:space="preserve">Просмотрите файл командой cat /etc/group (рис.</w:t>
      </w:r>
      <w:r>
        <w:t xml:space="preserve"> </w:t>
      </w:r>
      <w:r>
        <w:rPr>
          <w:b/>
          <w:bCs/>
        </w:rPr>
        <w:t xml:space="preserve">¿fig:011?</w:t>
      </w:r>
      <w:r>
        <w:t xml:space="preserve">)(рис. 8).</w:t>
      </w:r>
    </w:p>
    <w:p>
      <w:pPr>
        <w:pStyle w:val="FirstParagraph"/>
      </w:pPr>
      <w:bookmarkStart w:id="58" w:name="fig:011"/>
      <w:r>
        <w:drawing>
          <wp:inline>
            <wp:extent cx="3733800" cy="2100262"/>
            <wp:effectExtent b="0" l="0" r="0" t="0"/>
            <wp:docPr descr="011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2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012</w:t>
      </w:r>
    </w:p>
    <w:p>
      <w:pPr>
        <w:pStyle w:val="Compact"/>
        <w:numPr>
          <w:ilvl w:val="0"/>
          <w:numId w:val="1010"/>
        </w:numPr>
      </w:pPr>
      <w:r>
        <w:t xml:space="preserve">От имени пользователя guest2 выполните регистрацию пользователя</w:t>
      </w:r>
      <w:r>
        <w:t xml:space="preserve"> </w:t>
      </w:r>
      <w:r>
        <w:t xml:space="preserve">guest2 в группе guest(рис.</w:t>
      </w:r>
      <w:r>
        <w:t xml:space="preserve"> </w:t>
      </w:r>
      <w:r>
        <w:rPr>
          <w:b/>
          <w:bCs/>
        </w:rPr>
        <w:t xml:space="preserve">¿fig:013?</w:t>
      </w:r>
      <w:r>
        <w:t xml:space="preserve">).</w:t>
      </w:r>
    </w:p>
    <w:p>
      <w:pPr>
        <w:pStyle w:val="FirstParagraph"/>
      </w:pPr>
      <w:bookmarkStart w:id="65" w:name="fig:013"/>
      <w:r>
        <w:drawing>
          <wp:inline>
            <wp:extent cx="3733800" cy="2100262"/>
            <wp:effectExtent b="0" l="0" r="0" t="0"/>
            <wp:docPr descr="013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От имени пользователя guest измените права директории /home/guest,</w:t>
      </w:r>
      <w:r>
        <w:t xml:space="preserve"> </w:t>
      </w:r>
      <w:r>
        <w:t xml:space="preserve">разрешив все действия для пользователей группы:</w:t>
      </w:r>
      <w:r>
        <w:t xml:space="preserve"> </w:t>
      </w:r>
      <w:r>
        <w:t xml:space="preserve">chmod g+rwx /home/guest(рис.</w:t>
      </w:r>
      <w:r>
        <w:t xml:space="preserve"> </w:t>
      </w:r>
      <w:r>
        <w:rPr>
          <w:b/>
          <w:bCs/>
        </w:rPr>
        <w:t xml:space="preserve">¿fig:014?</w:t>
      </w:r>
      <w:r>
        <w:t xml:space="preserve">).</w:t>
      </w:r>
    </w:p>
    <w:p>
      <w:pPr>
        <w:pStyle w:val="FirstParagraph"/>
      </w:pPr>
      <w:bookmarkStart w:id="69" w:name="fig:014"/>
      <w:r>
        <w:drawing>
          <wp:inline>
            <wp:extent cx="3733800" cy="2100262"/>
            <wp:effectExtent b="0" l="0" r="0" t="0"/>
            <wp:docPr descr="014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От имени пользователя guest снимите с директории /home/guest/dir1</w:t>
      </w:r>
      <w:r>
        <w:t xml:space="preserve"> </w:t>
      </w:r>
      <w:r>
        <w:t xml:space="preserve">все атрибуты (рис.</w:t>
      </w:r>
      <w:r>
        <w:t xml:space="preserve"> </w:t>
      </w:r>
      <w:r>
        <w:rPr>
          <w:b/>
          <w:bCs/>
        </w:rPr>
        <w:t xml:space="preserve">¿fig:015?</w:t>
      </w:r>
      <w:r>
        <w:t xml:space="preserve">).</w:t>
      </w:r>
    </w:p>
    <w:p>
      <w:pPr>
        <w:pStyle w:val="FirstParagraph"/>
      </w:pPr>
      <w:bookmarkStart w:id="73" w:name="fig:015"/>
      <w:r>
        <w:drawing>
          <wp:inline>
            <wp:extent cx="3733800" cy="2100262"/>
            <wp:effectExtent b="0" l="0" r="0" t="0"/>
            <wp:docPr descr="015" title="" id="71" name="Picture"/>
            <a:graphic>
              <a:graphicData uri="http://schemas.openxmlformats.org/drawingml/2006/picture">
                <pic:pic>
                  <pic:nvPicPr>
                    <pic:cNvPr descr="image/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запонение таблицы (рис.</w:t>
      </w:r>
      <w:r>
        <w:t xml:space="preserve"> </w:t>
      </w:r>
      <w:r>
        <w:rPr>
          <w:b/>
          <w:bCs/>
        </w:rPr>
        <w:t xml:space="preserve">¿fig:016?</w:t>
      </w:r>
      <w:r>
        <w:t xml:space="preserve">).(рис.</w:t>
      </w:r>
      <w:r>
        <w:t xml:space="preserve"> </w:t>
      </w:r>
      <w:r>
        <w:rPr>
          <w:b/>
          <w:bCs/>
        </w:rPr>
        <w:t xml:space="preserve">¿fig:017?</w:t>
      </w:r>
      <w:r>
        <w:t xml:space="preserve">)</w:t>
      </w:r>
    </w:p>
    <w:p>
      <w:pPr>
        <w:pStyle w:val="FirstParagraph"/>
      </w:pPr>
      <w:bookmarkStart w:id="77" w:name="fig:016"/>
      <w:r>
        <w:drawing>
          <wp:inline>
            <wp:extent cx="3733800" cy="2100262"/>
            <wp:effectExtent b="0" l="0" r="0" t="0"/>
            <wp:docPr descr="016" title="" id="75" name="Picture"/>
            <a:graphic>
              <a:graphicData uri="http://schemas.openxmlformats.org/drawingml/2006/picture">
                <pic:pic>
                  <pic:nvPicPr>
                    <pic:cNvPr descr="image/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  <w:r>
        <w:t xml:space="preserve">.</w:t>
      </w:r>
    </w:p>
    <w:p>
      <w:pPr>
        <w:pStyle w:val="BodyText"/>
      </w:pPr>
      <w:bookmarkStart w:id="81" w:name="fig:017"/>
      <w:r>
        <w:drawing>
          <wp:inline>
            <wp:extent cx="3733800" cy="2100262"/>
            <wp:effectExtent b="0" l="0" r="0" t="0"/>
            <wp:docPr descr="017" title="" id="79" name="Picture"/>
            <a:graphic>
              <a:graphicData uri="http://schemas.openxmlformats.org/drawingml/2006/picture">
                <pic:pic>
                  <pic:nvPicPr>
                    <pic:cNvPr descr="image/1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  <w:r>
        <w:t xml:space="preserve">.</w:t>
      </w:r>
    </w:p>
    <w:bookmarkEnd w:id="82"/>
    <w:bookmarkStart w:id="8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получены практические навыки управления дисреционным доступом в Linux для нескольких пользователей, входящих в общую группу. Экспериментально определено влияние комбинаций атрибутов доступа к директориям и файлам на возможности пользователя guest2 по выполнению различных операций. Результаты заполненных таблиц наглядно демонстрируют, что права на директорию (в частности, наличие бита x) являются определяющими для возможности взаимодействия с содержащимися в ней файлами.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Глобин Никита Анатольевич</dc:creator>
  <dc:language>ru-RU</dc:language>
  <cp:keywords/>
  <dcterms:created xsi:type="dcterms:W3CDTF">2026-02-21T18:53:17Z</dcterms:created>
  <dcterms:modified xsi:type="dcterms:W3CDTF">2026-02-21T18:53:17Z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 в Linux. Два пользователя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