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and Restaurant POS Research and Build Plan</w:t>
      </w:r>
    </w:p>
    <w:p>
      <w:r>
        <w:t>Build one commercial platform with two purpose-built checkout experiences and a shared suite of operational applications. Launch in Ontario, then expand across Canada through reviewed provincial configurations. Both retail and restaurants belong in the product scope from the beginning; advanced modules should reach production in controlled releases.</w:t>
      </w:r>
    </w:p>
    <w:p>
      <w:pPr>
        <w:pStyle w:val="Heading2"/>
      </w:pPr>
      <w:r>
        <w:t>Product direction</w:t>
      </w:r>
    </w:p>
    <w:p>
      <w:r>
        <w:t>The proposed package serves independent retailers, quick-service restaurants, table-service restaurants and small groups with approximately one to ten locations. Hybrid businesses such as a bakery selling packaged goods are useful pilot candidates, but do not establish a unique market by themselves. Large grocery chains, pharmacy, cannabis, fuel and hotel operations require additional specialist work and are expansion segments.</w:t>
      </w:r>
    </w:p>
    <w:p>
      <w:r>
        <w:t>The recommended value proposition is dependable selling during internet outages, straightforward onboarding, transparent packaging and clear stock and margin information. A merchant should be able to open a shift, sell, refund, reconcile and export their records without technical knowledge. AI should assist with exceptions and decisions after the financial core is dependable.</w:t>
      </w:r>
    </w:p>
    <w:p>
      <w:pPr>
        <w:pStyle w:val="Heading2"/>
      </w:pPr>
      <w:r>
        <w:t>Evidence and commercial conclusion</w:t>
      </w:r>
    </w:p>
    <w:p>
      <w:r>
        <w:t>Established products already cover extensive retail and restaurant functions. Square, Lightspeed and Toast demonstrate that combining many features is not sufficient differentiation. Toast even markets restaurant and retail hybrid concepts. The proposed advantages therefore remain hypotheses to test with merchants.</w:t>
      </w:r>
      <w:r>
        <w:rPr>
          <w:rStyle w:val="FootnoteReference"/>
        </w:rPr>
        <w:footnoteReference w:id="1"/>
      </w:r>
    </w:p>
    <w:p>
      <w:r>
        <w:t>No forecast supports earning CAD 1 million in the first month. The immediate business milestone is a small group of paying merchants who complete normal shifts, trust the totals and renew. Customer acquisition and support capacity must grow alongside engineering.</w:t>
      </w:r>
    </w:p>
    <w:p>
      <w:pPr>
        <w:pStyle w:val="Heading2"/>
      </w:pPr>
      <w:r>
        <w:t>Scope and planning assumptions</w:t>
      </w:r>
    </w:p>
    <w:tbl>
      <w:tblPr>
        <w:tblW w:type="auto" w:w="0"/>
        <w:tblLayout w:type="fixed"/>
        <w:tblLook w:firstColumn="1" w:firstRow="1" w:lastColumn="0" w:lastRow="0" w:noHBand="0" w:noVBand="1" w:val="04A0"/>
      </w:tblPr>
      <w:tblGrid>
        <w:gridCol w:w="2088"/>
        <w:gridCol w:w="7992"/>
      </w:tblGrid>
      <w:tr>
        <w:trPr>
          <w:cantSplit/>
          <w:tblHeader/>
        </w:trPr>
        <w:tc>
          <w:tcPr>
            <w:tcW w:type="dxa" w:w="2088"/>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Decision</w:t>
            </w:r>
          </w:p>
        </w:tc>
        <w:tc>
          <w:tcPr>
            <w:tcW w:type="dxa" w:w="799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Planning baseline</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First market</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Ontario pilot; CAD; English UI with translation support designed in</w:t>
            </w:r>
          </w:p>
        </w:tc>
      </w:tr>
      <w:tr>
        <w:trPr>
          <w:cantSplit/>
        </w:trPr>
        <w:tc>
          <w:tcPr>
            <w:tcW w:type="dxa" w:w="208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Product ownership</w:t>
            </w:r>
          </w:p>
        </w:tc>
        <w:tc>
          <w:tcPr>
            <w:tcW w:type="dxa" w:w="799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Commercial subscription software; merchants own and can export their business data</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Initial devices</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Android register and kitchen devices; browser administration; iPad and Windows gates in roadmap</w:t>
            </w:r>
          </w:p>
        </w:tc>
      </w:tr>
      <w:tr>
        <w:trPr>
          <w:cantSplit/>
        </w:trPr>
        <w:tc>
          <w:tcPr>
            <w:tcW w:type="dxa" w:w="208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Payments</w:t>
            </w:r>
          </w:p>
        </w:tc>
        <w:tc>
          <w:tcPr>
            <w:tcW w:type="dxa" w:w="799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One approved provider integration initially; separate merchant payment accounts</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Delivery approach</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 both industries, then complete the wider app suite and regional packages</w:t>
            </w:r>
          </w:p>
        </w:tc>
      </w:tr>
    </w:tbl>
    <w:p>
      <w:pPr>
        <w:spacing w:after="0"/>
      </w:pPr>
    </w:p>
    <w:p>
      <w:r>
        <w:t>Evidence checked on 9 September 2026. Vendor pages describe advertised capabilities, not independent performance results. Estimates and proposed requirements in this report are planning judgments. No merchant interviews, device tests, provider approvals or implementation have yet been completed.</w:t>
      </w:r>
    </w:p>
    <w:p>
      <w:pPr>
        <w:pStyle w:val="Heading1"/>
        <w:pageBreakBefore/>
      </w:pPr>
      <w:r>
        <w:t>Market and competitor findings</w:t>
      </w:r>
    </w:p>
    <w:p>
      <w:r>
        <w:t>Compare complete installed cost and workflow fit rather than headline subscription price. Additional registers, online ordering, messaging, migration, hardware, payment processing and support can materially change the purchase decision. Obtain written Canadian quotes before positioning on price.</w:t>
      </w:r>
    </w:p>
    <w:tbl>
      <w:tblPr>
        <w:tblW w:type="auto" w:w="0"/>
        <w:tblLayout w:type="fixed"/>
        <w:tblLook w:firstColumn="1" w:firstRow="1" w:lastColumn="0" w:lastRow="0" w:noHBand="0" w:noVBand="1" w:val="04A0"/>
      </w:tblPr>
      <w:tblGrid>
        <w:gridCol w:w="1512"/>
        <w:gridCol w:w="3671"/>
        <w:gridCol w:w="4896"/>
      </w:tblGrid>
      <w:tr>
        <w:trPr>
          <w:cantSplit/>
          <w:tblHeader/>
        </w:trPr>
        <w:tc>
          <w:tcPr>
            <w:tcW w:type="dxa" w:w="151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Product</w:t>
            </w:r>
          </w:p>
        </w:tc>
        <w:tc>
          <w:tcPr>
            <w:tcW w:type="dxa" w:w="367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Verified advertised capabilities</w:t>
            </w:r>
          </w:p>
        </w:tc>
        <w:tc>
          <w:tcPr>
            <w:tcW w:type="dxa" w:w="489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Pricing evidence and implication</w:t>
            </w:r>
          </w:p>
        </w:tc>
      </w:tr>
      <w:tr>
        <w:trPr>
          <w:cantSplit/>
        </w:trPr>
        <w:tc>
          <w:tcPr>
            <w:tcW w:type="dxa" w:w="15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Square Retail</w:t>
            </w:r>
            <w:r>
              <w:rPr>
                <w:rStyle w:val="FootnoteReference"/>
              </w:rPr>
              <w:footnoteReference w:id="2"/>
            </w:r>
          </w:p>
        </w:tc>
        <w:tc>
          <w:tcPr>
            <w:tcW w:type="dxa" w:w="367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Inventory, online selling, purchasing and barcode tools</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Free plan; Plus CAD 79 per location per month, plus processing. Strong low-cost baseline.</w:t>
            </w:r>
          </w:p>
        </w:tc>
      </w:tr>
      <w:tr>
        <w:trPr>
          <w:cantSplit/>
        </w:trPr>
        <w:tc>
          <w:tcPr>
            <w:tcW w:type="dxa" w:w="151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Square Restaurants</w:t>
            </w:r>
            <w:r>
              <w:rPr>
                <w:rStyle w:val="FootnoteReference"/>
              </w:rPr>
              <w:footnoteReference w:id="3"/>
            </w:r>
          </w:p>
        </w:tc>
        <w:tc>
          <w:tcPr>
            <w:tcW w:type="dxa" w:w="367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Table workflows, modifiers, kitchen display and paid advanced service tools</w:t>
            </w:r>
          </w:p>
        </w:tc>
        <w:tc>
          <w:tcPr>
            <w:tcW w:type="dxa" w:w="489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Page lists Free and Plus at $60/month, plus processing and extra-register charges. Confirm current package and currency in a Canadian quote.</w:t>
            </w:r>
          </w:p>
        </w:tc>
      </w:tr>
      <w:tr>
        <w:trPr>
          <w:cantSplit/>
        </w:trPr>
        <w:tc>
          <w:tcPr>
            <w:tcW w:type="dxa" w:w="15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Shopify POS</w:t>
            </w:r>
            <w:r>
              <w:rPr>
                <w:rStyle w:val="FootnoteReference"/>
              </w:rPr>
              <w:footnoteReference w:id="4"/>
            </w:r>
          </w:p>
        </w:tc>
        <w:tc>
          <w:tcPr>
            <w:tcW w:type="dxa" w:w="367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Retail inventory, staff permissions and omnichannel workflows</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Canadian page lists POS Pro at CAD 119/month/location in addition to the Shopify plan; FAQ specifies annual billing.</w:t>
            </w:r>
          </w:p>
        </w:tc>
      </w:tr>
      <w:tr>
        <w:trPr>
          <w:cantSplit/>
        </w:trPr>
        <w:tc>
          <w:tcPr>
            <w:tcW w:type="dxa" w:w="151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Lightspeed Retail</w:t>
            </w:r>
            <w:r>
              <w:rPr>
                <w:rStyle w:val="FootnoteReference"/>
              </w:rPr>
              <w:footnoteReference w:id="5"/>
            </w:r>
          </w:p>
        </w:tc>
        <w:tc>
          <w:tcPr>
            <w:tcW w:type="dxa" w:w="367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Retail POS, inventory, commerce and related integrations</w:t>
            </w:r>
          </w:p>
        </w:tc>
        <w:tc>
          <w:tcPr>
            <w:tcW w:type="dxa" w:w="489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Obtain a Canadian configuration-specific quote; no price assumed here.</w:t>
            </w:r>
          </w:p>
        </w:tc>
      </w:tr>
      <w:tr>
        <w:trPr>
          <w:cantSplit/>
        </w:trPr>
        <w:tc>
          <w:tcPr>
            <w:tcW w:type="dxa" w:w="15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Lightspeed Restaurant</w:t>
            </w:r>
            <w:r>
              <w:rPr>
                <w:rStyle w:val="FootnoteReference"/>
              </w:rPr>
              <w:footnoteReference w:id="6"/>
            </w:r>
          </w:p>
        </w:tc>
        <w:tc>
          <w:tcPr>
            <w:tcW w:type="dxa" w:w="367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Tableside and QR ordering, ingredient inventory, KDS and multilocation</w:t>
            </w:r>
          </w:p>
        </w:tc>
        <w:tc>
          <w:tcPr>
            <w:tcW w:type="dxa" w:w="48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Strong restaurant benchmark; validate Canadian availability of every add-on.</w:t>
            </w:r>
          </w:p>
        </w:tc>
      </w:tr>
      <w:tr>
        <w:trPr>
          <w:cantSplit/>
        </w:trPr>
        <w:tc>
          <w:tcPr>
            <w:tcW w:type="dxa" w:w="151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Toast Canada</w:t>
            </w:r>
            <w:r>
              <w:rPr>
                <w:rStyle w:val="FootnoteReference"/>
              </w:rPr>
              <w:footnoteReference w:id="7"/>
            </w:r>
          </w:p>
        </w:tc>
        <w:tc>
          <w:tcPr>
            <w:tcW w:type="dxa" w:w="367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Restaurant POS, handheld, KDS, online orders, loyalty and hybrid concepts</w:t>
            </w:r>
          </w:p>
        </w:tc>
        <w:tc>
          <w:tcPr>
            <w:tcW w:type="dxa" w:w="489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Canadian page confirms broad suite. Obtain a written bundle quote and hardware terms.</w:t>
            </w:r>
          </w:p>
        </w:tc>
      </w:tr>
    </w:tbl>
    <w:p>
      <w:pPr>
        <w:spacing w:after="0"/>
      </w:pPr>
    </w:p>
    <w:p>
      <w:pPr>
        <w:pStyle w:val="Heading2"/>
      </w:pPr>
      <w:r>
        <w:t>Opportunities to validate</w:t>
      </w:r>
    </w:p>
    <w:p>
      <w:r>
        <w:t>Test whether merchants struggle with transferring their catalogue, understanding outages, reconciling delivery channels or knowing true item margins. Offer an import preview, a clear offline status and a daily reconciliation report as concrete demonstrations. Do not claim these features are absent from every competitor.</w:t>
      </w:r>
    </w:p>
    <w:p>
      <w:r>
        <w:t>Interview at least five retailers and five restaurants before locking scope. Observe checkout and closing with permission. Ask for anonymized sample exports, an ordinary receipt, a return, a stock adjustment and a difficult order. Record the current solution, monthly total cost, switching barrier and willingness to pay.</w:t>
      </w:r>
    </w:p>
    <w:p>
      <w:pPr>
        <w:pStyle w:val="Heading2"/>
      </w:pPr>
      <w:r>
        <w:t>Decision gate</w:t>
      </w:r>
    </w:p>
    <w:p>
      <w:r>
        <w:t>Proceed to a paid pilot when at least three businesses agree on a meaningful problem, provide usable sample data and accept the intended pricing range. Reject a segment if its essential workflow requires integrations or hardware that cannot be supported within the budget. Keep retail and restaurant feedback separate when prioritizing their interfaces.</w:t>
      </w:r>
    </w:p>
    <w:p>
      <w:pPr>
        <w:pStyle w:val="Heading1"/>
        <w:pageBreakBefore/>
      </w:pPr>
      <w:r>
        <w:t>The complete application package</w:t>
      </w:r>
    </w:p>
    <w:p>
      <w:r>
        <w:t>These are application roles, not twelve unrelated systems. Shared identity, catalogue, order, payment and reporting services should power them. Some roles can ship as modes of one managed application, reducing duplicate code and installation work.</w:t>
      </w:r>
    </w:p>
    <w:tbl>
      <w:tblPr>
        <w:tblW w:type="auto" w:w="0"/>
        <w:tblLayout w:type="fixed"/>
        <w:tblLook w:firstColumn="1" w:firstRow="1" w:lastColumn="0" w:lastRow="0" w:noHBand="0" w:noVBand="1" w:val="04A0"/>
      </w:tblPr>
      <w:tblGrid>
        <w:gridCol w:w="1944"/>
        <w:gridCol w:w="6120"/>
        <w:gridCol w:w="2015"/>
      </w:tblGrid>
      <w:tr>
        <w:trPr>
          <w:cantSplit/>
          <w:tblHeader/>
        </w:trPr>
        <w:tc>
          <w:tcPr>
            <w:tcW w:type="dxa" w:w="194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Application</w:t>
            </w:r>
          </w:p>
        </w:tc>
        <w:tc>
          <w:tcPr>
            <w:tcW w:type="dxa" w:w="6120"/>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Main responsibilities</w:t>
            </w:r>
          </w:p>
        </w:tc>
        <w:tc>
          <w:tcPr>
            <w:tcW w:type="dxa" w:w="201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Release</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Retail register</w:t>
            </w:r>
          </w:p>
        </w:tc>
        <w:tc>
          <w:tcPr>
            <w:tcW w:type="dxa" w:w="61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Scan, sell, exchange, refund, hold cart and close cash drawer</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Restaurant register</w:t>
            </w:r>
          </w:p>
        </w:tc>
        <w:tc>
          <w:tcPr>
            <w:tcW w:type="dxa" w:w="61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Dine-in, takeaway, modifiers, tables, split checks and tips</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Waiter handheld</w:t>
            </w:r>
          </w:p>
        </w:tc>
        <w:tc>
          <w:tcPr>
            <w:tcW w:type="dxa" w:w="61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Seats, notes, course firing, table transfer and supported pay-at-table</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 basic; expand</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Kitchen display</w:t>
            </w:r>
          </w:p>
        </w:tc>
        <w:tc>
          <w:tcPr>
            <w:tcW w:type="dxa" w:w="61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Station routing, ticket timers, acknowledgement, bump and recall</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Customer display</w:t>
            </w:r>
          </w:p>
        </w:tc>
        <w:tc>
          <w:tcPr>
            <w:tcW w:type="dxa" w:w="61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Live item totals, tax, tender state and optional receipt choice</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 basic</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Owner administration</w:t>
            </w:r>
          </w:p>
        </w:tc>
        <w:tc>
          <w:tcPr>
            <w:tcW w:type="dxa" w:w="61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Locations, catalogue, menus, roles, pricing, reports and exports</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Stock mobile app</w:t>
            </w:r>
          </w:p>
        </w:tc>
        <w:tc>
          <w:tcPr>
            <w:tcW w:type="dxa" w:w="61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Receiving, counting, barcode labels, transfers and waste</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 release</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Self-service kiosk</w:t>
            </w:r>
          </w:p>
        </w:tc>
        <w:tc>
          <w:tcPr>
            <w:tcW w:type="dxa" w:w="61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Browse, customize, accessible checkout and order status</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Commercial release</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Customer web app</w:t>
            </w:r>
          </w:p>
        </w:tc>
        <w:tc>
          <w:tcPr>
            <w:tcW w:type="dxa" w:w="61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Retail store, restaurant menu, pickup ordering, loyalty and receipts</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 release</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Owner mobile app</w:t>
            </w:r>
          </w:p>
        </w:tc>
        <w:tc>
          <w:tcPr>
            <w:tcW w:type="dxa" w:w="61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Daily results, alerts, approvals and device health</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Commercial release</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Staff portal</w:t>
            </w:r>
          </w:p>
        </w:tc>
        <w:tc>
          <w:tcPr>
            <w:tcW w:type="dxa" w:w="61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Availability, rosters, time entries and permitted tip summaries</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Expansion</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Platform operations</w:t>
            </w:r>
          </w:p>
        </w:tc>
        <w:tc>
          <w:tcPr>
            <w:tcW w:type="dxa" w:w="61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Tenant setup, subscriptions, diagnostics, releases and audited support</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 core</w:t>
            </w:r>
          </w:p>
        </w:tc>
      </w:tr>
    </w:tbl>
    <w:p>
      <w:pPr>
        <w:spacing w:after="0"/>
      </w:pPr>
    </w:p>
    <w:p>
      <w:pPr>
        <w:pStyle w:val="Heading2"/>
      </w:pPr>
      <w:r>
        <w:t>Device and distribution policy</w:t>
      </w:r>
    </w:p>
    <w:p>
      <w:r>
        <w:t>Use managed Android tablets for the first register and kitchen hardware profile. Provide browser administration on Windows, macOS and tablets. Plan iPad register and iPhone owner access, plus a Windows desktop register where customer demand justifies its hardware adapter. Each advertised operating system must pass its own payment, printer and recovery tests.</w:t>
      </w:r>
    </w:p>
    <w:p>
      <w:r>
        <w:t>Customer ordering should work without installing an app. A native customer loyalty app and a driver app are optional later products; begin with the customer web app and delivery-provider integrations. Every merchant receives an onboarding guide, hardware compatibility list, tax setup checklist, help centre, export guide and recovery instructions.</w:t>
      </w:r>
    </w:p>
    <w:p>
      <w:r>
        <w:t>Language settings should be independent for staff and receipts. Prepare English and French translation resources; release additional languages after real-device font and printer testing. Do not promise arbitrary printer or terminal compatibility.</w:t>
      </w:r>
    </w:p>
    <w:p>
      <w:pPr>
        <w:pStyle w:val="Heading1"/>
        <w:pageBreakBefore/>
      </w:pPr>
      <w:r>
        <w:t>Shared commerce and retail requirements</w:t>
      </w:r>
    </w:p>
    <w:p>
      <w:pPr>
        <w:pStyle w:val="Heading2"/>
      </w:pPr>
      <w:r>
        <w:t>Shared financial core</w:t>
      </w:r>
    </w:p>
    <w:p>
      <w:r>
        <w:t>Use integer minor units for posted money and decimal quantities for weight and recipes. Define deterministic rounding, discount ordering and tax calculation rules. Snapshot prices, tax rules, costs and item descriptions on each posted sale so later catalogue changes cannot rewrite history. Record corrections as voids, refunds or adjustments with actor and reason.</w:t>
      </w:r>
    </w:p>
    <w:p>
      <w:r>
        <w:t>Separate an order from its tender attempts. An order can have several payments, partial refunds and fulfilment events. A completed sale must create a coherent receipt, tender ledger and stock movement. Gift card issuance is a liability, not ordinary item revenue; tips, tax, discounts, deposits and processing fees need separate reporting.</w:t>
      </w:r>
    </w:p>
    <w:tbl>
      <w:tblPr>
        <w:tblW w:type="auto" w:w="0"/>
        <w:tblLayout w:type="fixed"/>
        <w:tblLook w:firstColumn="1" w:firstRow="1" w:lastColumn="0" w:lastRow="0" w:noHBand="0" w:noVBand="1" w:val="04A0"/>
      </w:tblPr>
      <w:tblGrid>
        <w:gridCol w:w="1584"/>
        <w:gridCol w:w="7056"/>
        <w:gridCol w:w="1425"/>
      </w:tblGrid>
      <w:tr>
        <w:trPr>
          <w:cantSplit/>
          <w:tblHeader/>
        </w:trPr>
        <w:tc>
          <w:tcPr>
            <w:tcW w:type="dxa" w:w="158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Area</w:t>
            </w:r>
          </w:p>
        </w:tc>
        <w:tc>
          <w:tcPr>
            <w:tcW w:type="dxa" w:w="705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Required workflows</w:t>
            </w:r>
          </w:p>
        </w:tc>
        <w:tc>
          <w:tcPr>
            <w:tcW w:type="dxa" w:w="142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Priority</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Checkout</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Barcode and text search; variants; cart hold; quantity edit; approved discounts; split tender; receipt reprint</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Returns</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Original-sale lookup; partial return; exchange; original tax reversal; restock or damaged-stock choice</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Stock</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Opening stock; receive; count; adjust with reason; low-stock alert; stock movement history</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Retail catalogue</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SKU, GTIN, size and colour; cost; supplier; location price; import validation</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Procurement</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Purchase orders; partial receiving; supplier returns; landed cost; suggested reorders</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Advanced retail</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Lots, expiry, serials, kits, weighted goods, promotions and cross-location returns</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Commercial by segment</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Omnichannel</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Pickup reservation; transfer; shipment status; oversell policy; cancellation and refund</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Cash control</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Opening float; paid-in/out; cash sale/refund; expected cash; counted close; variance approval</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bl>
    <w:p>
      <w:pPr>
        <w:spacing w:after="0"/>
      </w:pPr>
    </w:p>
    <w:p>
      <w:pPr>
        <w:pStyle w:val="Heading2"/>
      </w:pPr>
      <w:r>
        <w:t>Important edge cases</w:t>
      </w:r>
    </w:p>
    <w:p>
      <w:r>
        <w:t>One product may sell as a unit, pack or weighted quantity. Store the conversion explicitly. Concurrent sales of the last item must follow a documented oversell policy. An offline branch cannot promise current stock at another disconnected branch. Returns must not restore stock twice when requests are retried.</w:t>
      </w:r>
    </w:p>
    <w:p>
      <w:r>
        <w:t>Support receipt-level and line-level discounts without double application. Cap refunds at the refundable amount, accounting for earlier refunds and the original tender. Reprints must be marked and must not create new sales. Report gross sales, net sales and gross margin with clear definitions; missing cost data must be visible rather than treated as zero.</w:t>
      </w:r>
    </w:p>
    <w:p>
      <w:pPr>
        <w:pStyle w:val="Heading1"/>
        <w:pageBreakBefore/>
      </w:pPr>
      <w:r>
        <w:t>Restaurant requirements and service flows</w:t>
      </w:r>
    </w:p>
    <w:p>
      <w:r>
        <w:t>Restaurant ordering is a long-lived workflow: an order can be edited, sent to several kitchen stations, served in courses and paid by several guests. Maintain explicit order versions and kitchen acknowledgements so amendments cannot silently replace already-prepared food.</w:t>
      </w:r>
    </w:p>
    <w:tbl>
      <w:tblPr>
        <w:tblW w:type="auto" w:w="0"/>
        <w:tblLayout w:type="fixed"/>
        <w:tblLook w:firstColumn="1" w:firstRow="1" w:lastColumn="0" w:lastRow="0" w:noHBand="0" w:noVBand="1" w:val="04A0"/>
      </w:tblPr>
      <w:tblGrid>
        <w:gridCol w:w="1584"/>
        <w:gridCol w:w="7056"/>
        <w:gridCol w:w="1425"/>
      </w:tblGrid>
      <w:tr>
        <w:trPr>
          <w:cantSplit/>
          <w:tblHeader/>
        </w:trPr>
        <w:tc>
          <w:tcPr>
            <w:tcW w:type="dxa" w:w="158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Area</w:t>
            </w:r>
          </w:p>
        </w:tc>
        <w:tc>
          <w:tcPr>
            <w:tcW w:type="dxa" w:w="705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Required workflows</w:t>
            </w:r>
          </w:p>
        </w:tc>
        <w:tc>
          <w:tcPr>
            <w:tcW w:type="dxa" w:w="142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Priority</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Order entry</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Dine-in, takeaway, menu schedules, modifier groups, required choices and sold-out items</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Tables</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Floor plan, seats, open checks, table transfer, ownership and table status</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Kitchen</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Station routing, ticket IDs, acknowledgements, timers, cancelled-item notices, bump and recall</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Settlement</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Equal split, item split, mixed tenders, partial payment, tips, refunds and manager-approved voids</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Pilot</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Full service</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Course hold/fire, shared items, seat reassignment, gratuity configuration and handhelds</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Recipes</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Ingredient quantities, yield, substitutions, cost versions, waste and preparation batches</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Commercial</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Online orders</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Pickup slots, capacity limits, preparation time, out-of-stock handling and order acceptance</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w:t>
            </w:r>
          </w:p>
        </w:tc>
      </w:tr>
      <w:tr>
        <w:trPr>
          <w:cantSplit/>
        </w:trPr>
        <w:tc>
          <w:tcPr>
            <w:tcW w:type="dxa" w:w="158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Guest operations</w:t>
            </w:r>
          </w:p>
        </w:tc>
        <w:tc>
          <w:tcPr>
            <w:tcW w:type="dxa" w:w="705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Reservations, waitlist, deposits, loyalty and customer communications</w:t>
            </w:r>
          </w:p>
        </w:tc>
        <w:tc>
          <w:tcPr>
            <w:tcW w:type="dxa" w:w="142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Expansion</w:t>
            </w:r>
          </w:p>
        </w:tc>
      </w:tr>
      <w:tr>
        <w:trPr>
          <w:cantSplit/>
        </w:trPr>
        <w:tc>
          <w:tcPr>
            <w:tcW w:type="dxa" w:w="158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Delivery</w:t>
            </w:r>
          </w:p>
        </w:tc>
        <w:tc>
          <w:tcPr>
            <w:tcW w:type="dxa" w:w="70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Provider-authorized order intake, deduplication, availability sync and payout reconciliation</w:t>
            </w:r>
          </w:p>
        </w:tc>
        <w:tc>
          <w:tcPr>
            <w:tcW w:type="dxa" w:w="142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Expansion</w:t>
            </w:r>
          </w:p>
        </w:tc>
      </w:tr>
    </w:tbl>
    <w:p>
      <w:pPr>
        <w:spacing w:after="0"/>
      </w:pPr>
    </w:p>
    <w:p>
      <w:pPr>
        <w:pStyle w:val="Heading2"/>
      </w:pPr>
      <w:r>
        <w:t>Example service path</w:t>
      </w:r>
    </w:p>
    <w:p>
      <w:r>
        <w:t>A server opens table 7 and adds food with a modifier and an allergy note. The store hub accepts the version and routes food and drinks to their stations. The kitchen confirms receipt. Later additions become new ticket events. Guests split the check; confirmed payments reduce the remaining balance. The table closes only after settlement or an authorized exception.</w:t>
      </w:r>
    </w:p>
    <w:p>
      <w:pPr>
        <w:pStyle w:val="Heading2"/>
      </w:pPr>
      <w:r>
        <w:t>Failures that must be designed first</w:t>
      </w:r>
    </w:p>
    <w:p>
      <w:r>
        <w:t>When a kitchen screen is unavailable, show an explicit delivery failure and use the configured backup printer or staff procedure. A printer job can be sent without proof that paper emerged; label uncertain jobs and mark reprints. A void after kitchen acceptance must notify staff and record waste separately from the customer refund.</w:t>
      </w:r>
    </w:p>
    <w:p>
      <w:r>
        <w:t>Preserve allergy notes prominently, but never have AI certify that a dish is allergen-safe. Require staff confirmation for substitutions. Freeze the recipe version used for stock consumption and distinguish theoretical consumption from physical counts. Do not promise live delivery integrations before API access and operational rules are confirmed.</w:t>
      </w:r>
    </w:p>
    <w:p>
      <w:pPr>
        <w:pStyle w:val="Heading1"/>
        <w:pageBreakBefore/>
      </w:pPr>
      <w:r>
        <w:t>Offline operation and data architecture</w:t>
      </w:r>
    </w:p>
    <w:p>
      <w:r>
        <w:t>Recommended architecture: device applications with local transactional storage, a small store hub for local coordination, and a central cloud service. The hub coordinates registers and kitchen screens on the shop network during internet loss. A cloud-only browser app is insufficient for the intended outage behaviour.</w:t>
      </w:r>
    </w:p>
    <w:p>
      <w:r>
        <w:t>SQLite provides atomic transaction mechanisms suitable for local durable records, subject to its documented storage assumptions. Use an encrypted local database and commit the sale plus outgoing sync event before acknowledging local completion. Validate behaviour on the actual devices.</w:t>
      </w:r>
      <w:r>
        <w:rPr>
          <w:rStyle w:val="FootnoteReference"/>
        </w:rPr>
        <w:footnoteReference w:id="8"/>
      </w:r>
    </w:p>
    <w:tbl>
      <w:tblPr>
        <w:tblW w:type="auto" w:w="0"/>
        <w:tblLayout w:type="fixed"/>
        <w:tblLook w:firstColumn="1" w:firstRow="1" w:lastColumn="0" w:lastRow="0" w:noHBand="0" w:noVBand="1" w:val="04A0"/>
      </w:tblPr>
      <w:tblGrid>
        <w:gridCol w:w="2232"/>
        <w:gridCol w:w="4031"/>
        <w:gridCol w:w="3816"/>
      </w:tblGrid>
      <w:tr>
        <w:trPr>
          <w:cantSplit/>
          <w:tblHeader/>
        </w:trPr>
        <w:tc>
          <w:tcPr>
            <w:tcW w:type="dxa" w:w="223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Connectivity state</w:t>
            </w:r>
          </w:p>
        </w:tc>
        <w:tc>
          <w:tcPr>
            <w:tcW w:type="dxa" w:w="403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Allowed behaviour</w:t>
            </w:r>
          </w:p>
        </w:tc>
        <w:tc>
          <w:tcPr>
            <w:tcW w:type="dxa" w:w="381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Restriction</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Cloud and local network available</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Normal selling, settlement and synchronization</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Show provider payment status separately</w:t>
            </w:r>
          </w:p>
        </w:tc>
      </w:tr>
      <w:tr>
        <w:trPr>
          <w:cantSplit/>
        </w:trPr>
        <w:tc>
          <w:tcPr>
            <w:tcW w:type="dxa" w:w="22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Internet down; hub reachable</w:t>
            </w:r>
          </w:p>
        </w:tc>
        <w:tc>
          <w:tcPr>
            <w:tcW w:type="dxa" w:w="40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Local cash sales, orders, KDS and receipts</w:t>
            </w:r>
          </w:p>
        </w:tc>
        <w:tc>
          <w:tcPr>
            <w:tcW w:type="dxa" w:w="38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Cloud orders and balances may be stale; card policy depends on provider</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Register isolated from hub</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Restricted single-register cash sales using local journal</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No edits to shared table checks or shared-value redemption</w:t>
            </w:r>
          </w:p>
        </w:tc>
      </w:tr>
      <w:tr>
        <w:trPr>
          <w:cantSplit/>
        </w:trPr>
        <w:tc>
          <w:tcPr>
            <w:tcW w:type="dxa" w:w="22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Power or device failure</w:t>
            </w:r>
          </w:p>
        </w:tc>
        <w:tc>
          <w:tcPr>
            <w:tcW w:type="dxa" w:w="40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Recover acknowledged records from durable storage or replicated hub</w:t>
            </w:r>
          </w:p>
        </w:tc>
        <w:tc>
          <w:tcPr>
            <w:tcW w:type="dxa" w:w="38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Unsynced records on destroyed storage may be unrecoverable</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Internet restored</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Replay queued events, deduplicate, reconcile tenders and flag conflicts</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Do not silently overwrite disputed financial records</w:t>
            </w:r>
          </w:p>
        </w:tc>
      </w:tr>
    </w:tbl>
    <w:p>
      <w:pPr>
        <w:spacing w:after="0"/>
      </w:pPr>
    </w:p>
    <w:p>
      <w:pPr>
        <w:pStyle w:val="Heading2"/>
      </w:pPr>
      <w:r>
        <w:t>Synchronization rules</w:t>
      </w:r>
    </w:p>
    <w:p>
      <w:r>
        <w:t>Assign every business operation a unique ID, tenant, location, device sequence and schema version. Use a transactional outbox and retryable delivery; enforce unique operation IDs server-side so retries have one business effect. Keep acknowledgement checkpoints. Retain events until they are durably acknowledged and recovery rules permit cleanup.</w:t>
      </w:r>
    </w:p>
    <w:p>
      <w:r>
        <w:t>The store hub is the single local authority for shared restaurant checks. Devices must not both take ownership of the same check during a network partition. An isolated device may create a new cash sale, but shared checks remain locked. Hub failover needs an explicit lease and fencing design; the pilot uses supervised recovery rather than an untested automatic election.</w:t>
      </w:r>
    </w:p>
    <w:p>
      <w:pPr>
        <w:pStyle w:val="Heading2"/>
      </w:pPr>
      <w:r>
        <w:t>Cloud and operational model</w:t>
      </w:r>
    </w:p>
    <w:p>
      <w:r>
        <w:t>Start with a modular backend, PostgreSQL, object storage, a background job queue and authenticated event delivery. Separate order, tender, inventory and audit modules while retaining transaction boundaries. PostgreSQL row security is useful defence in depth; privileged and owner roles can bypass policies and need explicit handling.</w:t>
      </w:r>
      <w:r>
        <w:rPr>
          <w:rStyle w:val="FootnoteReference"/>
        </w:rPr>
        <w:footnoteReference w:id="9"/>
      </w:r>
    </w:p>
    <w:p>
      <w:r>
        <w:t>Require tenant-scoped access everywhere, including file storage, exports and background jobs. Online orders need a store heartbeat and acceptance timeout so disconnected kitchens do not silently receive unfulfillable orders. Clearly display the age of cloud reports.</w:t>
      </w:r>
    </w:p>
    <w:p>
      <w:pPr>
        <w:pStyle w:val="Heading1"/>
        <w:pageBreakBefore/>
      </w:pPr>
      <w:r>
        <w:t>Payments and hardware integration</w:t>
      </w:r>
    </w:p>
    <w:p>
      <w:r>
        <w:t>Treat integrated payments as a dedicated engineering and merchant-onboarding workstream. Use provider-managed terminals or supported SDKs so the POS does not handle raw card numbers or card verification values. Each merchant receives funds through its approved provider account; subscription revenue is separate from merchant sales.</w:t>
      </w:r>
    </w:p>
    <w:p>
      <w:r>
        <w:t>Square Terminal API is a candidate for the initial online integration. Its documentation covers device pairing, checkout requests, payment results, webhooks, tips and Canadian Interac refund flows. Split tender requires multiple checkout requests orchestrated by the POS. Its cloud request path is not evidence that a custom integration inherits offline capabilities advertised for Square’s own POS.</w:t>
      </w:r>
      <w:r>
        <w:rPr>
          <w:rStyle w:val="FootnoteReference"/>
        </w:rPr>
        <w:footnoteReference w:id="10"/>
      </w:r>
    </w:p>
    <w:p>
      <w:pPr>
        <w:pStyle w:val="Heading2"/>
      </w:pPr>
      <w:r>
        <w:t>Payment acceptance contract</w:t>
      </w:r>
    </w:p>
    <w:p>
      <w:r>
        <w:t>Model initiated, pending, confirmed, failed, cancelled and unknown states. If a terminal times out after taking a payment, query the original attempt before trying another charge. Verify webhook signatures, tolerate repeated and out-of-order delivery, and reconcile against durable provider payment records. Never mark a sale paid because a customer-facing page says success.</w:t>
      </w:r>
    </w:p>
    <w:p>
      <w:r>
        <w:t>The pilot supports offline cash. Enable offline cards only after confirming the exact provider, SDK, reader, country, payment type, liability rules and upload limits. Obtain written confirmation for Interac and refund behaviour. A deferred card submission is not a confirmed authorization and must remain distinguishable in reports.</w:t>
      </w:r>
    </w:p>
    <w:tbl>
      <w:tblPr>
        <w:tblW w:type="auto" w:w="0"/>
        <w:tblLayout w:type="fixed"/>
        <w:tblLook w:firstColumn="1" w:firstRow="1" w:lastColumn="0" w:lastRow="0" w:noHBand="0" w:noVBand="1" w:val="04A0"/>
      </w:tblPr>
      <w:tblGrid>
        <w:gridCol w:w="2448"/>
        <w:gridCol w:w="7632"/>
      </w:tblGrid>
      <w:tr>
        <w:trPr>
          <w:cantSplit/>
          <w:tblHeader/>
        </w:trPr>
        <w:tc>
          <w:tcPr>
            <w:tcW w:type="dxa" w:w="2448"/>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Hardware profile</w:t>
            </w:r>
          </w:p>
        </w:tc>
        <w:tc>
          <w:tcPr>
            <w:tcW w:type="dxa" w:w="763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Selection and test requirement</w:t>
            </w:r>
          </w:p>
        </w:tc>
      </w:tr>
      <w:tr>
        <w:trPr>
          <w:cantSplit/>
        </w:trPr>
        <w:tc>
          <w:tcPr>
            <w:tcW w:type="dxa" w:w="24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Register</w:t>
            </w:r>
          </w:p>
        </w:tc>
        <w:tc>
          <w:tcPr>
            <w:tcW w:type="dxa" w:w="76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One supported Android tablet model first; stable mount, charger and managed updates</w:t>
            </w:r>
          </w:p>
        </w:tc>
      </w:tr>
      <w:tr>
        <w:trPr>
          <w:cantSplit/>
        </w:trPr>
        <w:tc>
          <w:tcPr>
            <w:tcW w:type="dxa" w:w="244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Payment terminal</w:t>
            </w:r>
          </w:p>
        </w:tc>
        <w:tc>
          <w:tcPr>
            <w:tcW w:type="dxa" w:w="76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Provider-approved Canadian terminal; pair, cancel, decline, refund and timeout tests</w:t>
            </w:r>
          </w:p>
        </w:tc>
      </w:tr>
      <w:tr>
        <w:trPr>
          <w:cantSplit/>
        </w:trPr>
        <w:tc>
          <w:tcPr>
            <w:tcW w:type="dxa" w:w="24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Receipt and kitchen printers</w:t>
            </w:r>
          </w:p>
        </w:tc>
        <w:tc>
          <w:tcPr>
            <w:tcW w:type="dxa" w:w="76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One tested network receipt printer and kitchen fallback; paper-out and reconnect tests</w:t>
            </w:r>
          </w:p>
        </w:tc>
      </w:tr>
      <w:tr>
        <w:trPr>
          <w:cantSplit/>
        </w:trPr>
        <w:tc>
          <w:tcPr>
            <w:tcW w:type="dxa" w:w="244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Scanner and drawer</w:t>
            </w:r>
          </w:p>
        </w:tc>
        <w:tc>
          <w:tcPr>
            <w:tcW w:type="dxa" w:w="76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USB or Bluetooth scanner; cash drawer connected through a supported printer or adapter</w:t>
            </w:r>
          </w:p>
        </w:tc>
      </w:tr>
      <w:tr>
        <w:trPr>
          <w:cantSplit/>
        </w:trPr>
        <w:tc>
          <w:tcPr>
            <w:tcW w:type="dxa" w:w="24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Customer display and kiosk</w:t>
            </w:r>
          </w:p>
        </w:tc>
        <w:tc>
          <w:tcPr>
            <w:tcW w:type="dxa" w:w="76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Second-screen pairing; session reset; no customer data retained between visits</w:t>
            </w:r>
          </w:p>
        </w:tc>
      </w:tr>
      <w:tr>
        <w:trPr>
          <w:cantSplit/>
        </w:trPr>
        <w:tc>
          <w:tcPr>
            <w:tcW w:type="dxa" w:w="244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Scale and label printer</w:t>
            </w:r>
          </w:p>
        </w:tc>
        <w:tc>
          <w:tcPr>
            <w:tcW w:type="dxa" w:w="763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Add by segment after device integration and applicable trade-use requirements review</w:t>
            </w:r>
          </w:p>
        </w:tc>
      </w:tr>
      <w:tr>
        <w:trPr>
          <w:cantSplit/>
        </w:trPr>
        <w:tc>
          <w:tcPr>
            <w:tcW w:type="dxa" w:w="24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Store continuity</w:t>
            </w:r>
          </w:p>
        </w:tc>
        <w:tc>
          <w:tcPr>
            <w:tcW w:type="dxa" w:w="76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Local hub, reliable router, backup power and optional cellular internet failover</w:t>
            </w:r>
          </w:p>
        </w:tc>
      </w:tr>
    </w:tbl>
    <w:p>
      <w:pPr>
        <w:spacing w:after="0"/>
      </w:pPr>
    </w:p>
    <w:p>
      <w:pPr>
        <w:pStyle w:val="Heading2"/>
      </w:pPr>
      <w:r>
        <w:t>Operational boundary</w:t>
      </w:r>
    </w:p>
    <w:p>
      <w:r>
        <w:t>Publish a compatibility matrix by operating system, model, connection type and firmware. Do not promise support for all existing hardware. Keep a spare-device procedure and a diagnostic bundle that excludes payment secrets and unnecessary customer information. Hardware procurement, acquiring agreements and device certification are external dependencies, not tasks that can be completed by UI code.</w:t>
      </w:r>
    </w:p>
    <w:p>
      <w:pPr>
        <w:pStyle w:val="Heading1"/>
        <w:pageBreakBefore/>
      </w:pPr>
      <w:r>
        <w:t>Canadian tax privacy and security requirements</w:t>
      </w:r>
    </w:p>
    <w:p>
      <w:r>
        <w:t>Build a versioned tax engine, not a single Ontario percentage. CRA guidance distinguishes place of supply, zero-rated goods, exemptions, receipt information and record retention. Ontario taxable supplies commonly use 13% HST, while basic groceries can be zero-rated. Preserve sufficient records for the applicable retention period; CRA states that records are usually retained for six years from the end of the relevant year.</w:t>
      </w:r>
      <w:r>
        <w:rPr>
          <w:rStyle w:val="FootnoteReference"/>
        </w:rPr>
        <w:footnoteReference w:id="11"/>
      </w:r>
    </w:p>
    <w:p>
      <w:r>
        <w:t>Ontario also has a provincial-part rebate for qualifying prepared food and beverages under specified conditions. GI-064 is older official guidance and must be checked against current rules before release. Test qualifying and nonqualifying baskets, thresholds, mixed items and refunds with a Canadian accountant.</w:t>
      </w:r>
      <w:r>
        <w:rPr>
          <w:rStyle w:val="FootnoteReference"/>
        </w:rPr>
        <w:footnoteReference w:id="12"/>
      </w:r>
    </w:p>
    <w:p>
      <w:r>
        <w:t>Use province-specific launch gates. Review PST, QST, regional receipt obligations, French-language requirements and applicable fiscal integrations before expansion. Quebec restaurant requirements are not verified in this report and Quebec must remain disabled until a separate review is complete. Verify cash rounding, deposits, coupons and gratuities before posting live transactions.</w:t>
      </w:r>
    </w:p>
    <w:p>
      <w:r>
        <w:t>PIPEDA principles require attention to purpose, consent, collection limits, safeguards and access. Make loyalty optional, allow anonymous checkout, minimize retained customer data and document retention and deletion rules. Hosting in Canada may be a product choice, but location alone does not establish privacy compliance.</w:t>
      </w:r>
      <w:r>
        <w:rPr>
          <w:rStyle w:val="FootnoteReference"/>
        </w:rPr>
        <w:footnoteReference w:id="13"/>
      </w:r>
    </w:p>
    <w:p>
      <w:r>
        <w:t>Maintain a breach-response process. OPC guidance describes reporting and notification where a breach creates a real risk of significant harm and keeping records of all breaches for at least two years. Assign an incident owner and rehearse recovery and notification decisions.</w:t>
      </w:r>
      <w:r>
        <w:rPr>
          <w:rStyle w:val="FootnoteReference"/>
        </w:rPr>
        <w:footnoteReference w:id="14"/>
      </w:r>
    </w:p>
    <w:p>
      <w:r>
        <w:t>For promotional email and text, retain evidence of the relevant consent and enforce suppression. CASL guidance distinguishes express and time-limited implied consent. Keep transactional receipts separate from marketing enrolment and implement sender identification and unsubscribe controls.</w:t>
      </w:r>
      <w:r>
        <w:rPr>
          <w:rStyle w:val="FootnoteReference"/>
        </w:rPr>
        <w:footnoteReference w:id="15"/>
      </w:r>
    </w:p>
    <w:p>
      <w:pPr>
        <w:pStyle w:val="Heading2"/>
      </w:pPr>
      <w:r>
        <w:t>Mandatory security design</w:t>
      </w:r>
    </w:p>
    <w:p>
      <w:r>
        <w:t>PCI DSS includes technical and operational obligations for parties that handle payment data or can affect the cardholder-data environment. A terminal provider reduces exposure but does not certify the entire POS business. Confirm applicable assessment responsibilities with the provider or qualified assessor before production.</w:t>
      </w:r>
      <w:r>
        <w:rPr>
          <w:rStyle w:val="FootnoteReference"/>
        </w:rPr>
        <w:footnoteReference w:id="16"/>
      </w:r>
    </w:p>
    <w:p>
      <w:r>
        <w:t>Require owner MFA, individual staff identities, constrained cashier PIN access on enrolled devices, least privilege, encrypted transport and storage, protected device keys, signed updates and secret rotation. Scope refunds and exports by role; audit privileged support access. Rate-limit login and APIs. Maintain tested backups, dependency scanning, incident logging and an independent security assessment before general release.</w:t>
      </w:r>
    </w:p>
    <w:p>
      <w:r>
        <w:t>Offline staff access needs expiring cached permissions. A disconnected device cannot learn an immediate cloud revocation; document that window and require online verification for high-risk administration. Do not allow AI to change permissions, approve refunds or access another merchant’s data.</w:t>
      </w:r>
    </w:p>
    <w:p>
      <w:pPr>
        <w:pStyle w:val="Heading1"/>
        <w:pageBreakBefore/>
      </w:pPr>
      <w:r>
        <w:t>Advanced features and product experience</w:t>
      </w:r>
    </w:p>
    <w:p>
      <w:r>
        <w:t>Prioritize advances that improve measurable operating outcomes. Implement deterministic alerts first, then add forecasting or language assistance where data quality supports it. Store owners should not need their own AI API keys. Core selling must continue if the AI service is unavailable.</w:t>
      </w:r>
    </w:p>
    <w:tbl>
      <w:tblPr>
        <w:tblW w:type="auto" w:w="0"/>
        <w:tblLayout w:type="fixed"/>
        <w:tblLook w:firstColumn="1" w:firstRow="1" w:lastColumn="0" w:lastRow="0" w:noHBand="0" w:noVBand="1" w:val="04A0"/>
      </w:tblPr>
      <w:tblGrid>
        <w:gridCol w:w="1944"/>
        <w:gridCol w:w="3816"/>
        <w:gridCol w:w="4320"/>
      </w:tblGrid>
      <w:tr>
        <w:trPr>
          <w:cantSplit/>
          <w:tblHeader/>
        </w:trPr>
        <w:tc>
          <w:tcPr>
            <w:tcW w:type="dxa" w:w="194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Feature</w:t>
            </w:r>
          </w:p>
        </w:tc>
        <w:tc>
          <w:tcPr>
            <w:tcW w:type="dxa" w:w="381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Proposed benefit</w:t>
            </w:r>
          </w:p>
        </w:tc>
        <w:tc>
          <w:tcPr>
            <w:tcW w:type="dxa" w:w="4320"/>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Control and proof</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Import preview</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Show field mapping, duplicate SKUs, missing tax and stock inconsistencies before migration</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Merchant approves counts and opening balances; keep rollback copy</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Margin alerts</w:t>
            </w:r>
          </w:p>
        </w:tc>
        <w:tc>
          <w:tcPr>
            <w:tcW w:type="dxa" w:w="38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Flag cost increases, missing costs and unprofitable promotions</w:t>
            </w:r>
          </w:p>
        </w:tc>
        <w:tc>
          <w:tcPr>
            <w:tcW w:type="dxa" w:w="43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Show source cost, calculation and freshness; never call gross margin net profit</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Reorder suggestions</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Recommend quantities based on sales, stock and supplier lead time</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Compare to a simple baseline; manager approves every purchase</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Restaurant waste insights</w:t>
            </w:r>
          </w:p>
        </w:tc>
        <w:tc>
          <w:tcPr>
            <w:tcW w:type="dxa" w:w="38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Compare recipe usage with counts and waste records</w:t>
            </w:r>
          </w:p>
        </w:tc>
        <w:tc>
          <w:tcPr>
            <w:tcW w:type="dxa" w:w="43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Explain variance; do not automatically accuse staff of theft</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Owner questions</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Explain daily sales, voids, stock and trends in plain language</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Read-only scoped tools; link answers to underlying reports</w:t>
            </w:r>
          </w:p>
        </w:tc>
      </w:tr>
      <w:tr>
        <w:trPr>
          <w:cantSplit/>
        </w:trPr>
        <w:tc>
          <w:tcPr>
            <w:tcW w:type="dxa" w:w="194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Invoice capture</w:t>
            </w:r>
          </w:p>
        </w:tc>
        <w:tc>
          <w:tcPr>
            <w:tcW w:type="dxa" w:w="38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Extract supplier invoice rows and suggest cost updates</w:t>
            </w:r>
          </w:p>
        </w:tc>
        <w:tc>
          <w:tcPr>
            <w:tcW w:type="dxa" w:w="43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Review screen; confidence flags; approval before stock or cost changes</w:t>
            </w:r>
          </w:p>
        </w:tc>
      </w:tr>
      <w:tr>
        <w:trPr>
          <w:cantSplit/>
        </w:trPr>
        <w:tc>
          <w:tcPr>
            <w:tcW w:type="dxa" w:w="19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Device health</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Warn about unsynced sales, printer issues and stale backups</w:t>
            </w:r>
          </w:p>
        </w:tc>
        <w:tc>
          <w:tcPr>
            <w:tcW w:type="dxa" w:w="43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Actionable status and escalation; verified event delivery</w:t>
            </w:r>
          </w:p>
        </w:tc>
      </w:tr>
    </w:tbl>
    <w:p>
      <w:pPr>
        <w:spacing w:after="0"/>
      </w:pPr>
    </w:p>
    <w:p>
      <w:pPr>
        <w:pStyle w:val="Heading2"/>
      </w:pPr>
      <w:r>
        <w:t>Interaction requirements</w:t>
      </w:r>
    </w:p>
    <w:p>
      <w:r>
        <w:t>Retail checkout should favour fast scanning and keyboard shortcuts. Restaurant checkout should favour large touch targets, table context and quick modifier entry. Keep totals and remaining balance visible. Use clear distinctions between saved locally, synchronized, payment pending and paid. A cashier must see how to recover without reading technical error codes.</w:t>
      </w:r>
    </w:p>
    <w:p>
      <w:r>
        <w:t>Use WCAG 2.2 AA as the proposed web accessibility target, with keyboard navigation, visible focus, readable contrast and tested form errors. WCAG is an engineering target here, not a claim that all Canadian legal obligations are identical. Native apps, kiosks and hardware also need usability testing with assistive technologies.</w:t>
      </w:r>
      <w:r>
        <w:rPr>
          <w:rStyle w:val="FootnoteReference"/>
        </w:rPr>
        <w:footnoteReference w:id="17"/>
      </w:r>
    </w:p>
    <w:p>
      <w:pPr>
        <w:pStyle w:val="Heading2"/>
      </w:pPr>
      <w:r>
        <w:t>Data and integration contracts</w:t>
      </w:r>
    </w:p>
    <w:p>
      <w:r>
        <w:t>Define versioned APIs for merchants, locations, devices, users, catalogue, tax rules, orders, payment attempts, refunds, shifts, stock movements and kitchen tickets. Separate customer identity from financial documents so retention and deletion can be handled correctly. Export line-level records, not only dashboard totals.</w:t>
      </w:r>
    </w:p>
    <w:p>
      <w:r>
        <w:t>Initial accounting output is a reconciled CSV with documented mappings. Add a supported accounting connector after validating taxes, fees, tips, gift-card liabilities and refunds. Payment, accounting and delivery connectors need retry queues, health status and per-merchant credentials. Provider tokens must never be embedded in downloadable apps.</w:t>
      </w:r>
    </w:p>
    <w:p>
      <w:pPr>
        <w:pStyle w:val="Heading1"/>
        <w:pageBreakBefore/>
      </w:pPr>
      <w:r>
        <w:t>Build or reuse decision</w:t>
      </w:r>
    </w:p>
    <w:p>
      <w:r>
        <w:t>A GitHub project can shorten some work but does not establish Canadian payment compatibility, safe offline behaviour or commercial readiness. Evaluate licenses, dependencies, upgrade paths and real workflows before choosing a foundation. No repository has been installed or security-audited for this report.</w:t>
      </w:r>
    </w:p>
    <w:tbl>
      <w:tblPr>
        <w:tblW w:type="auto" w:w="0"/>
        <w:tblLayout w:type="fixed"/>
        <w:tblLook w:firstColumn="1" w:firstRow="1" w:lastColumn="0" w:lastRow="0" w:noHBand="0" w:noVBand="1" w:val="04A0"/>
      </w:tblPr>
      <w:tblGrid>
        <w:gridCol w:w="1512"/>
        <w:gridCol w:w="4968"/>
        <w:gridCol w:w="3600"/>
      </w:tblGrid>
      <w:tr>
        <w:trPr>
          <w:cantSplit/>
          <w:tblHeader/>
        </w:trPr>
        <w:tc>
          <w:tcPr>
            <w:tcW w:type="dxa" w:w="151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Candidate</w:t>
            </w:r>
          </w:p>
        </w:tc>
        <w:tc>
          <w:tcPr>
            <w:tcW w:type="dxa" w:w="4968"/>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Evidence</w:t>
            </w:r>
          </w:p>
        </w:tc>
        <w:tc>
          <w:tcPr>
            <w:tcW w:type="dxa" w:w="3600"/>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Recommended use</w:t>
            </w:r>
          </w:p>
        </w:tc>
      </w:tr>
      <w:tr>
        <w:trPr>
          <w:cantSplit/>
        </w:trPr>
        <w:tc>
          <w:tcPr>
            <w:tcW w:type="dxa" w:w="15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Odoo</w:t>
            </w:r>
            <w:r>
              <w:rPr>
                <w:rStyle w:val="FootnoteReference"/>
              </w:rPr>
              <w:footnoteReference w:id="18"/>
            </w:r>
            <w:r>
              <w:rPr>
                <w:rStyle w:val="FootnoteReference"/>
              </w:rPr>
              <w:footnoteReference w:id="19"/>
            </w:r>
          </w:p>
        </w:tc>
        <w:tc>
          <w:tcPr>
            <w:tcW w:type="dxa" w:w="49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Official repository includes POS and wider business apps. The 19.0 core license includes LGPL terms; individual modules and enterprise components need separate review.</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Run a time-boxed fit test for both verticals before committing to a fork.</w:t>
            </w:r>
          </w:p>
        </w:tc>
      </w:tr>
      <w:tr>
        <w:trPr>
          <w:cantSplit/>
        </w:trPr>
        <w:tc>
          <w:tcPr>
            <w:tcW w:type="dxa" w:w="151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ERPNext</w:t>
            </w:r>
            <w:r>
              <w:rPr>
                <w:rStyle w:val="FootnoteReference"/>
              </w:rPr>
              <w:footnoteReference w:id="20"/>
            </w:r>
          </w:p>
        </w:tc>
        <w:tc>
          <w:tcPr>
            <w:tcW w:type="dxa" w:w="496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Official repository identifies a broad open-source ERP under GPL-3.0.</w:t>
            </w:r>
          </w:p>
        </w:tc>
        <w:tc>
          <w:tcPr>
            <w:tcW w:type="dxa" w:w="360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Evaluate back-office inventory and accounting; do not assume the desired restaurant and offline clients exist.</w:t>
            </w:r>
          </w:p>
        </w:tc>
      </w:tr>
      <w:tr>
        <w:trPr>
          <w:cantSplit/>
        </w:trPr>
        <w:tc>
          <w:tcPr>
            <w:tcW w:type="dxa" w:w="15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Open Source POS</w:t>
            </w:r>
            <w:r>
              <w:rPr>
                <w:rStyle w:val="FootnoteReference"/>
              </w:rPr>
              <w:footnoteReference w:id="21"/>
            </w:r>
            <w:r>
              <w:rPr>
                <w:rStyle w:val="FootnoteReference"/>
              </w:rPr>
              <w:footnoteReference w:id="22"/>
            </w:r>
          </w:p>
        </w:tc>
        <w:tc>
          <w:tcPr>
            <w:tcW w:type="dxa" w:w="49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Repository describes a PHP/MySQL POS and license conditions retaining a visible project footer.</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Useful retail workflow reference; avoid assuming unrestricted white-label rights.</w:t>
            </w:r>
          </w:p>
        </w:tc>
      </w:tr>
      <w:tr>
        <w:trPr>
          <w:cantSplit/>
        </w:trPr>
        <w:tc>
          <w:tcPr>
            <w:tcW w:type="dxa" w:w="151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Original product</w:t>
            </w:r>
          </w:p>
        </w:tc>
        <w:tc>
          <w:tcPr>
            <w:tcW w:type="dxa" w:w="496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Own checkout clients, synchronization model and merchant experience using reviewed libraries.</w:t>
            </w:r>
          </w:p>
        </w:tc>
        <w:tc>
          <w:tcPr>
            <w:tcW w:type="dxa" w:w="360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Preferred if offline and hardware fit tests expose major gaps in existing foundations.</w:t>
            </w:r>
          </w:p>
        </w:tc>
      </w:tr>
    </w:tbl>
    <w:p>
      <w:pPr>
        <w:spacing w:after="0"/>
      </w:pPr>
    </w:p>
    <w:p>
      <w:pPr>
        <w:pStyle w:val="Heading2"/>
      </w:pPr>
      <w:r>
        <w:t>Recommended technical direction</w:t>
      </w:r>
    </w:p>
    <w:p>
      <w:r>
        <w:t>Use a shared cross-platform client approach only after a native hardware proof: Flutter is a candidate for Android and iPad, with native adapters where necessary. Use a browser frontend for administration and customer ordering, a typed modular API backend, PostgreSQL in the cloud, and local transactional storage for registers and the store hub. Select exact framework versions and payment SDKs during the proof, not from unchecked assumptions.</w:t>
      </w:r>
    </w:p>
    <w:p>
      <w:r>
        <w:t>Keep business rules in explicit domain modules and executable fixtures shared across clients where practical. If client and server use different languages, verify identical money, tax and refund results against the same fixture set. Package the hub as a managed service with controlled updates and recovery diagnostics.</w:t>
      </w:r>
    </w:p>
    <w:p>
      <w:pPr>
        <w:pStyle w:val="Heading2"/>
      </w:pPr>
      <w:r>
        <w:t>Two week foundation decision</w:t>
      </w:r>
    </w:p>
    <w:p>
      <w:r>
        <w:t>Evaluate Odoo and an original thin checkout against the same script: import sample items, sell with modifiers, print, refund, disconnect the internet, restart, reconnect and reconcile. Add payment sandbox and a real reader spike. Document unsupported workflows and license implications. Choose the foundation on evidence; do not combine several large POS codebases into an unmaintainable fork.</w:t>
      </w:r>
    </w:p>
    <w:p>
      <w:r>
        <w:t>Own the differentiating UI, migration experience and exception reporting. Integrate card processing, accounting and delivery capabilities where partner products supply regulated or operational infrastructure. Maintain a software bill of materials and notices for every distributed dependency.</w:t>
      </w:r>
    </w:p>
    <w:p>
      <w:pPr>
        <w:pStyle w:val="Heading1"/>
        <w:pageBreakBefore/>
      </w:pPr>
      <w:r>
        <w:t>Development sequence and budget</w:t>
      </w:r>
    </w:p>
    <w:p>
      <w:r>
        <w:t>The schedule below is an estimate for a funded team, not a commitment or a claim that the applications are already built. A small prototype can be produced sooner; a supported commercial suite requires device validation, merchant pilots and external approvals. Include both retail and restaurant acceptance flows in every core milestone.</w:t>
      </w:r>
    </w:p>
    <w:tbl>
      <w:tblPr>
        <w:tblW w:type="auto" w:w="0"/>
        <w:tblLayout w:type="fixed"/>
        <w:tblLook w:firstColumn="1" w:firstRow="1" w:lastColumn="0" w:lastRow="0" w:noHBand="0" w:noVBand="1" w:val="04A0"/>
      </w:tblPr>
      <w:tblGrid>
        <w:gridCol w:w="2088"/>
        <w:gridCol w:w="1728"/>
        <w:gridCol w:w="6263"/>
      </w:tblGrid>
      <w:tr>
        <w:trPr>
          <w:cantSplit/>
          <w:tblHeader/>
        </w:trPr>
        <w:tc>
          <w:tcPr>
            <w:tcW w:type="dxa" w:w="2088"/>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Stage</w:t>
            </w:r>
          </w:p>
        </w:tc>
        <w:tc>
          <w:tcPr>
            <w:tcW w:type="dxa" w:w="1728"/>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Indicative timing</w:t>
            </w:r>
          </w:p>
        </w:tc>
        <w:tc>
          <w:tcPr>
            <w:tcW w:type="dxa" w:w="626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Exit result</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Discovery and foundation</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Weeks 1–2</w:t>
            </w:r>
          </w:p>
        </w:tc>
        <w:tc>
          <w:tcPr>
            <w:tcW w:type="dxa" w:w="62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Merchant interviews, data samples, chosen foundation, tax fixtures and terminal feasibility</w:t>
            </w:r>
          </w:p>
        </w:tc>
      </w:tr>
      <w:tr>
        <w:trPr>
          <w:cantSplit/>
        </w:trPr>
        <w:tc>
          <w:tcPr>
            <w:tcW w:type="dxa" w:w="208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Shared core</w:t>
            </w:r>
          </w:p>
        </w:tc>
        <w:tc>
          <w:tcPr>
            <w:tcW w:type="dxa" w:w="172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Weeks 3–6</w:t>
            </w:r>
          </w:p>
        </w:tc>
        <w:tc>
          <w:tcPr>
            <w:tcW w:type="dxa" w:w="62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Tenant isolation, catalogue, tax, order and tender ledgers, audit, local storage and sync</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Both pilot workflows</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Weeks 7–12</w:t>
            </w:r>
          </w:p>
        </w:tc>
        <w:tc>
          <w:tcPr>
            <w:tcW w:type="dxa" w:w="62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Retail sale/return and restaurant order/KDS/split check on supported hardware</w:t>
            </w:r>
          </w:p>
        </w:tc>
      </w:tr>
      <w:tr>
        <w:trPr>
          <w:cantSplit/>
        </w:trPr>
        <w:tc>
          <w:tcPr>
            <w:tcW w:type="dxa" w:w="208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Controlled pilots</w:t>
            </w:r>
          </w:p>
        </w:tc>
        <w:tc>
          <w:tcPr>
            <w:tcW w:type="dxa" w:w="172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Months 4–6</w:t>
            </w:r>
          </w:p>
        </w:tc>
        <w:tc>
          <w:tcPr>
            <w:tcW w:type="dxa" w:w="62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Three to five sites, reconciled daily operation, outage drills and security review</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Commercial suite</w:t>
            </w:r>
          </w:p>
        </w:tc>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Months 7–10</w:t>
            </w:r>
          </w:p>
        </w:tc>
        <w:tc>
          <w:tcPr>
            <w:tcW w:type="dxa" w:w="62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Stock app, customer ordering, kiosk, owner app and mature procurement/recipes</w:t>
            </w:r>
          </w:p>
        </w:tc>
      </w:tr>
      <w:tr>
        <w:trPr>
          <w:cantSplit/>
        </w:trPr>
        <w:tc>
          <w:tcPr>
            <w:tcW w:type="dxa" w:w="208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Broader rollout</w:t>
            </w:r>
          </w:p>
        </w:tc>
        <w:tc>
          <w:tcPr>
            <w:tcW w:type="dxa" w:w="172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Months 10–15</w:t>
            </w:r>
          </w:p>
        </w:tc>
        <w:tc>
          <w:tcPr>
            <w:tcW w:type="dxa" w:w="62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Additional OS profiles, provincial packages, integrations and support capacity</w:t>
            </w:r>
          </w:p>
        </w:tc>
      </w:tr>
    </w:tbl>
    <w:p>
      <w:pPr>
        <w:spacing w:after="0"/>
      </w:pPr>
    </w:p>
    <w:p>
      <w:pPr>
        <w:pStyle w:val="Heading2"/>
      </w:pPr>
      <w:r>
        <w:t>Resourcing and illustrative funding</w:t>
      </w:r>
    </w:p>
    <w:p>
      <w:r>
        <w:t>Plan approximately six full-time-equivalent contributors during the first six months: a technical lead, two application/backend engineers, one offline or device specialist, QA automation, and combined product/design/implementation capacity. Obtain specialist payment, tax and security support. This is a staffing assumption, not a hiring quote.</w:t>
      </w:r>
    </w:p>
    <w:tbl>
      <w:tblPr>
        <w:tblW w:type="auto" w:w="0"/>
        <w:tblLayout w:type="fixed"/>
        <w:tblLook w:firstColumn="1" w:firstRow="1" w:lastColumn="0" w:lastRow="0" w:noHBand="0" w:noVBand="1" w:val="04A0"/>
      </w:tblPr>
      <w:tblGrid>
        <w:gridCol w:w="8063"/>
        <w:gridCol w:w="2015"/>
      </w:tblGrid>
      <w:tr>
        <w:trPr>
          <w:cantSplit/>
          <w:tblHeader/>
        </w:trPr>
        <w:tc>
          <w:tcPr>
            <w:tcW w:type="dxa" w:w="806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Illustrative six month pilot budget</w:t>
            </w:r>
          </w:p>
        </w:tc>
        <w:tc>
          <w:tcPr>
            <w:tcW w:type="dxa" w:w="201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CAD</w:t>
            </w:r>
          </w:p>
        </w:tc>
      </w:tr>
      <w:tr>
        <w:trPr>
          <w:cantSplit/>
        </w:trPr>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6 contributors × 6 months × $10,000 loaded monthly cost</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$360,000</w:t>
            </w:r>
          </w:p>
        </w:tc>
      </w:tr>
      <w:tr>
        <w:trPr>
          <w:cantSplit/>
        </w:trPr>
        <w:tc>
          <w:tcPr>
            <w:tcW w:type="dxa" w:w="80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Devices, infrastructure, specialist review and pilot operations allowance</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$60,000</w:t>
            </w:r>
          </w:p>
        </w:tc>
      </w:tr>
      <w:tr>
        <w:trPr>
          <w:cantSplit/>
        </w:trPr>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Contingency at 25% of the $420,000 subtotal</w:t>
            </w:r>
          </w:p>
        </w:tc>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$105,000</w:t>
            </w:r>
          </w:p>
        </w:tc>
      </w:tr>
      <w:tr>
        <w:trPr>
          <w:cantSplit/>
        </w:trPr>
        <w:tc>
          <w:tcPr>
            <w:tcW w:type="dxa" w:w="80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Total planning scenario</w:t>
            </w:r>
          </w:p>
        </w:tc>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$525,000</w:t>
            </w:r>
          </w:p>
        </w:tc>
      </w:tr>
    </w:tbl>
    <w:p>
      <w:pPr>
        <w:spacing w:after="0"/>
      </w:pPr>
    </w:p>
    <w:p>
      <w:r>
        <w:t>Actual cost depends on staffing rates, reuse, scope and merchant support. A founder-led build can reduce cash salary spend but not remove the work. The complete expanded suite requires additional funding beyond this pilot scenario. Hardware procurement, provider fees and merchant acquisition must not be assumed free.</w:t>
      </w:r>
    </w:p>
    <w:p>
      <w:pPr>
        <w:pStyle w:val="Heading2"/>
      </w:pPr>
      <w:r>
        <w:t>Revenue model to test</w:t>
      </w:r>
    </w:p>
    <w:p>
      <w:r>
        <w:t>Test subscription packages around CAD 99–199 per retail location and CAD 149–299 per restaurant location per month, with clearly specified device limits and features. These are unvalidated price hypotheses. Charge separately for hardware and substantial migration work; disclose payment and usage fees. Avoid unlimited lifetime promises for an ongoing service.</w:t>
      </w:r>
    </w:p>
    <w:p>
      <w:r>
        <w:t>At an assumed blended CAD 200 monthly subscription, CAD 1 million monthly recurring revenue requires 5,000 paying locations. At a hypothetical CAD 80 variable delivery cost per location, contribution is CAD 120 before fixed costs and acquisition. A CAD 1,200 acquisition cost then takes ten months to recover before churn. None of these assumptions is a sales forecast.</w:t>
      </w:r>
    </w:p>
    <w:p>
      <w:pPr>
        <w:pStyle w:val="Heading1"/>
        <w:pageBreakBefore/>
      </w:pPr>
      <w:r>
        <w:t>Acceptance tests and release gates</w:t>
      </w:r>
    </w:p>
    <w:p>
      <w:r>
        <w:t>A feature is complete only when its normal workflow, failure paths, permissions and reconciliation pass on supported hardware. Test financial and synchronization invariants automatically; use field observation for cashier usability and kitchen operation. The following targets are proposed release criteria, not measured results.</w:t>
      </w:r>
    </w:p>
    <w:tbl>
      <w:tblPr>
        <w:tblW w:type="auto" w:w="0"/>
        <w:tblLayout w:type="fixed"/>
        <w:tblLook w:firstColumn="1" w:firstRow="1" w:lastColumn="0" w:lastRow="0" w:noHBand="0" w:noVBand="1" w:val="04A0"/>
      </w:tblPr>
      <w:tblGrid>
        <w:gridCol w:w="2015"/>
        <w:gridCol w:w="8063"/>
      </w:tblGrid>
      <w:tr>
        <w:trPr>
          <w:cantSplit/>
          <w:tblHeader/>
        </w:trPr>
        <w:tc>
          <w:tcPr>
            <w:tcW w:type="dxa" w:w="2016"/>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Test area</w:t>
            </w:r>
          </w:p>
        </w:tc>
        <w:tc>
          <w:tcPr>
            <w:tcW w:type="dxa" w:w="8064"/>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Required acceptance evidence</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Money and tax</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Approved golden baskets; exact cent allocation across discounts, splits and refunds; original tax preserved</w:t>
            </w:r>
          </w:p>
        </w:tc>
      </w:tr>
      <w:tr>
        <w:trPr>
          <w:cantSplit/>
        </w:trPr>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Payment ambiguity</w:t>
            </w:r>
          </w:p>
        </w:tc>
        <w:tc>
          <w:tcPr>
            <w:tcW w:type="dxa" w:w="80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Timeout after charge resolved without duplicate collection; repeated webhooks do not duplicate sales or refunds</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Offline recovery</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Eight-hour outage simulation; restart during sales; replay 10,000 events without duplicate business effects</w:t>
            </w:r>
          </w:p>
        </w:tc>
      </w:tr>
      <w:tr>
        <w:trPr>
          <w:cantSplit/>
        </w:trPr>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Concurrent operations</w:t>
            </w:r>
          </w:p>
        </w:tc>
        <w:tc>
          <w:tcPr>
            <w:tcW w:type="dxa" w:w="80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Last-item sale, shared-table edits, repeated voids and capped cumulative refunds behave by policy</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Kitchen</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Every accepted ticket visible or explicitly failed; amendments and cancellations acknowledged; marked reprints</w:t>
            </w:r>
          </w:p>
        </w:tc>
      </w:tr>
      <w:tr>
        <w:trPr>
          <w:cantSplit/>
        </w:trPr>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Tenant security</w:t>
            </w:r>
          </w:p>
        </w:tc>
        <w:tc>
          <w:tcPr>
            <w:tcW w:type="dxa" w:w="80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Cross-tenant API, file, report, queue and export access denied; role changes and device revocation tested</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Performance</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Target p95 local item add below 150 ms on chosen hardware; payment-network latency measured separately</w:t>
            </w:r>
          </w:p>
        </w:tc>
      </w:tr>
      <w:tr>
        <w:trPr>
          <w:cantSplit/>
        </w:trPr>
        <w:tc>
          <w:tcPr>
            <w:tcW w:type="dxa" w:w="2016"/>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Recovery</w:t>
            </w:r>
          </w:p>
        </w:tc>
        <w:tc>
          <w:tcPr>
            <w:tcW w:type="dxa" w:w="8064"/>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Cloud target RPO 15 minutes and RTO 4 hours validated by restore drills; local unsynced-device risk documented</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Merchant close</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Cash, card, tax, tips, refunds and provider reconciliation checked through 30 consecutive pilot days</w:t>
            </w:r>
          </w:p>
        </w:tc>
      </w:tr>
    </w:tbl>
    <w:p>
      <w:pPr>
        <w:spacing w:after="0"/>
      </w:pPr>
    </w:p>
    <w:p>
      <w:pPr>
        <w:pStyle w:val="Heading2"/>
      </w:pPr>
      <w:r>
        <w:t>Pilot and general availability gates</w:t>
      </w:r>
    </w:p>
    <w:p>
      <w:r>
        <w:t>Pilot entry requires a tested backup, incident contact, rollback procedure, tax review, working hardware, provider onboarding and trained staff. Begin with restricted features and low-risk locations. General availability requires no unresolved critical security or financial defects, measured outage recovery and a staffed support plan. Pilot success is evidence for a limited configuration, not every advertised device and region.</w:t>
      </w:r>
    </w:p>
    <w:p>
      <w:pPr>
        <w:pStyle w:val="Heading2"/>
      </w:pPr>
      <w:r>
        <w:t>Installation and application delivery</w:t>
      </w:r>
    </w:p>
    <w:p>
      <w:r>
        <w:t>Deliver versioned Android APK test builds and signed AAB releases, iOS/iPadOS test and App Store builds through the appropriate Apple workflow, and signed desktop installers where supported. Apple provides TestFlight and distribution mechanisms through its developer program.</w:t>
      </w:r>
      <w:r>
        <w:rPr>
          <w:rStyle w:val="FootnoteReference"/>
        </w:rPr>
        <w:footnoteReference w:id="23"/>
      </w:r>
    </w:p>
    <w:p>
      <w:r>
        <w:t>Google currently requires qualifying new personal developer accounts to complete a closed test with at least 12 opted-in testers for 14 continuous days before applying for production access. Account type and current policies must be checked at submission; passing a test period does not guarantee approval.</w:t>
      </w:r>
      <w:r>
        <w:rPr>
          <w:rStyle w:val="FootnoteReference"/>
        </w:rPr>
        <w:footnoteReference w:id="24"/>
      </w:r>
    </w:p>
    <w:p>
      <w:r>
        <w:t>The handover package includes source repository, build instructions, deployment configuration, schema migrations, test results, recovery runbook, privacy and service documents, screenshots, hardware matrix and release notes. Secure signing keys remain under the business owner’s control. No APK, AAB, iOS binary or production backend is included in this research deliverable.</w:t>
      </w:r>
    </w:p>
    <w:p>
      <w:pPr>
        <w:pStyle w:val="Heading1"/>
        <w:pageBreakBefore/>
      </w:pPr>
      <w:r>
        <w:t>Implementation backlog and first actions</w:t>
      </w:r>
    </w:p>
    <w:p>
      <w:r>
        <w:t>Begin with a demonstrable end-to-end slice through both industries. Do not start by drawing every dashboard. The first slice must record a sale, persist it, route any kitchen work, produce a receipt, survive a restart and reconcile its tender and stock entries.</w:t>
      </w:r>
    </w:p>
    <w:tbl>
      <w:tblPr>
        <w:tblW w:type="auto" w:w="0"/>
        <w:tblLayout w:type="fixed"/>
        <w:tblLook w:firstColumn="1" w:firstRow="1" w:lastColumn="0" w:lastRow="0" w:noHBand="0" w:noVBand="1" w:val="04A0"/>
      </w:tblPr>
      <w:tblGrid>
        <w:gridCol w:w="2951"/>
        <w:gridCol w:w="2520"/>
        <w:gridCol w:w="4608"/>
      </w:tblGrid>
      <w:tr>
        <w:trPr>
          <w:cantSplit/>
          <w:tblHeader/>
        </w:trPr>
        <w:tc>
          <w:tcPr>
            <w:tcW w:type="dxa" w:w="2952"/>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Work package</w:t>
            </w:r>
          </w:p>
        </w:tc>
        <w:tc>
          <w:tcPr>
            <w:tcW w:type="dxa" w:w="2520"/>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Depends on</w:t>
            </w:r>
          </w:p>
        </w:tc>
        <w:tc>
          <w:tcPr>
            <w:tcW w:type="dxa" w:w="4608"/>
            <w:tcBorders>
              <w:top w:val="single" w:sz="4" w:color="D9D9D9"/>
              <w:left w:val="single" w:sz="4" w:color="D9D9D9"/>
              <w:bottom w:val="single" w:sz="4" w:color="D9D9D9"/>
              <w:right w:val="single" w:sz="4" w:color="D9D9D9"/>
            </w:tcBorders>
            <w:shd w:fill="404040"/>
            <w:tcMar>
              <w:top w:w="80" w:type="dxa"/>
              <w:left w:w="80" w:type="dxa"/>
              <w:bottom w:w="80" w:type="dxa"/>
              <w:right w:w="80" w:type="dxa"/>
            </w:tcMar>
          </w:tcPr>
          <w:p>
            <w:pPr>
              <w:spacing w:after="40" w:line="240" w:lineRule="auto"/>
            </w:pPr>
            <w:r>
              <w:rPr>
                <w:b/>
                <w:color w:val="FFFFFF"/>
                <w:sz w:val="18"/>
              </w:rPr>
              <w:t>Definition of done</w:t>
            </w:r>
          </w:p>
        </w:tc>
      </w:tr>
      <w:tr>
        <w:trPr>
          <w:cantSplit/>
        </w:trPr>
        <w:tc>
          <w:tcPr>
            <w:tcW w:type="dxa" w:w="29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P01 Merchant onboarding</w:t>
            </w:r>
          </w:p>
        </w:tc>
        <w:tc>
          <w:tcPr>
            <w:tcW w:type="dxa" w:w="25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Business and location model</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Create separate merchants; configure locations; import reviewed sample catalogue</w:t>
            </w:r>
          </w:p>
        </w:tc>
      </w:tr>
      <w:tr>
        <w:trPr>
          <w:cantSplit/>
        </w:trPr>
        <w:tc>
          <w:tcPr>
            <w:tcW w:type="dxa" w:w="295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P02 Identity and permissions</w:t>
            </w:r>
          </w:p>
        </w:tc>
        <w:tc>
          <w:tcPr>
            <w:tcW w:type="dxa" w:w="25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P01</w:t>
            </w:r>
          </w:p>
        </w:tc>
        <w:tc>
          <w:tcPr>
            <w:tcW w:type="dxa" w:w="460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Owner MFA; enrolled register; cashier restrictions; cross-tenant tests</w:t>
            </w:r>
          </w:p>
        </w:tc>
      </w:tr>
      <w:tr>
        <w:trPr>
          <w:cantSplit/>
        </w:trPr>
        <w:tc>
          <w:tcPr>
            <w:tcW w:type="dxa" w:w="29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P03 Money and tax engine</w:t>
            </w:r>
          </w:p>
        </w:tc>
        <w:tc>
          <w:tcPr>
            <w:tcW w:type="dxa" w:w="25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Approved tax fixtures</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Deterministic totals and exact split/refund allocation</w:t>
            </w:r>
          </w:p>
        </w:tc>
      </w:tr>
      <w:tr>
        <w:trPr>
          <w:cantSplit/>
        </w:trPr>
        <w:tc>
          <w:tcPr>
            <w:tcW w:type="dxa" w:w="295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P04 Orders and inventory</w:t>
            </w:r>
          </w:p>
        </w:tc>
        <w:tc>
          <w:tcPr>
            <w:tcW w:type="dxa" w:w="25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P01–P03</w:t>
            </w:r>
          </w:p>
        </w:tc>
        <w:tc>
          <w:tcPr>
            <w:tcW w:type="dxa" w:w="460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Atomic sale journal, stock movement and receipt snapshot</w:t>
            </w:r>
          </w:p>
        </w:tc>
      </w:tr>
      <w:tr>
        <w:trPr>
          <w:cantSplit/>
        </w:trPr>
        <w:tc>
          <w:tcPr>
            <w:tcW w:type="dxa" w:w="29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P05 Offline journal and sync</w:t>
            </w:r>
          </w:p>
        </w:tc>
        <w:tc>
          <w:tcPr>
            <w:tcW w:type="dxa" w:w="25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P04</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Retry-safe replay, checkpoint, restart and conflict tests</w:t>
            </w:r>
          </w:p>
        </w:tc>
      </w:tr>
      <w:tr>
        <w:trPr>
          <w:cantSplit/>
        </w:trPr>
        <w:tc>
          <w:tcPr>
            <w:tcW w:type="dxa" w:w="295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P06 Retail register</w:t>
            </w:r>
          </w:p>
        </w:tc>
        <w:tc>
          <w:tcPr>
            <w:tcW w:type="dxa" w:w="25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P02–P05</w:t>
            </w:r>
          </w:p>
        </w:tc>
        <w:tc>
          <w:tcPr>
            <w:tcW w:type="dxa" w:w="460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Scan, cash sale, hold, partial return and shift close</w:t>
            </w:r>
          </w:p>
        </w:tc>
      </w:tr>
      <w:tr>
        <w:trPr>
          <w:cantSplit/>
        </w:trPr>
        <w:tc>
          <w:tcPr>
            <w:tcW w:type="dxa" w:w="29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P07 Restaurant register and KDS</w:t>
            </w:r>
          </w:p>
        </w:tc>
        <w:tc>
          <w:tcPr>
            <w:tcW w:type="dxa" w:w="25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P02–P05 plus hub</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Modifiers, table check, routed ticket, amendment and split settlement</w:t>
            </w:r>
          </w:p>
        </w:tc>
      </w:tr>
      <w:tr>
        <w:trPr>
          <w:cantSplit/>
        </w:trPr>
        <w:tc>
          <w:tcPr>
            <w:tcW w:type="dxa" w:w="295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P08 Payment provider</w:t>
            </w:r>
          </w:p>
        </w:tc>
        <w:tc>
          <w:tcPr>
            <w:tcW w:type="dxa" w:w="25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Provider account and device</w:t>
            </w:r>
          </w:p>
        </w:tc>
        <w:tc>
          <w:tcPr>
            <w:tcW w:type="dxa" w:w="460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Sandbox plus physical-reader evidence; unknown-state reconciliation</w:t>
            </w:r>
          </w:p>
        </w:tc>
      </w:tr>
      <w:tr>
        <w:trPr>
          <w:cantSplit/>
        </w:trPr>
        <w:tc>
          <w:tcPr>
            <w:tcW w:type="dxa" w:w="29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P09 Reporting and export</w:t>
            </w:r>
          </w:p>
        </w:tc>
        <w:tc>
          <w:tcPr>
            <w:tcW w:type="dxa" w:w="252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P04–P08</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40" w:lineRule="auto"/>
            </w:pPr>
            <w:r>
              <w:rPr>
                <w:b w:val="0"/>
                <w:color w:val="000000"/>
                <w:sz w:val="18"/>
              </w:rPr>
              <w:t>Daily totals reconcile to detailed records and provider payments</w:t>
            </w:r>
          </w:p>
        </w:tc>
      </w:tr>
      <w:tr>
        <w:trPr>
          <w:cantSplit/>
        </w:trPr>
        <w:tc>
          <w:tcPr>
            <w:tcW w:type="dxa" w:w="2952"/>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P10 Pilot release</w:t>
            </w:r>
          </w:p>
        </w:tc>
        <w:tc>
          <w:tcPr>
            <w:tcW w:type="dxa" w:w="2520"/>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P01–P09 and launch gates</w:t>
            </w:r>
          </w:p>
        </w:tc>
        <w:tc>
          <w:tcPr>
            <w:tcW w:type="dxa" w:w="4608"/>
            <w:tcBorders>
              <w:top w:val="single" w:sz="4" w:color="D9D9D9"/>
              <w:left w:val="single" w:sz="4" w:color="D9D9D9"/>
              <w:bottom w:val="single" w:sz="4" w:color="D9D9D9"/>
              <w:right w:val="single" w:sz="4" w:color="D9D9D9"/>
            </w:tcBorders>
            <w:shd w:fill="F4F4F4"/>
            <w:tcMar>
              <w:top w:w="80" w:type="dxa"/>
              <w:left w:w="80" w:type="dxa"/>
              <w:bottom w:w="80" w:type="dxa"/>
              <w:right w:w="80" w:type="dxa"/>
            </w:tcMar>
          </w:tcPr>
          <w:p>
            <w:pPr>
              <w:spacing w:after="40" w:line="240" w:lineRule="auto"/>
            </w:pPr>
            <w:r>
              <w:rPr>
                <w:b w:val="0"/>
                <w:color w:val="000000"/>
                <w:sz w:val="18"/>
              </w:rPr>
              <w:t>Installed devices, trained operators, monitoring and rollback rehearsed</w:t>
            </w:r>
          </w:p>
        </w:tc>
      </w:tr>
    </w:tbl>
    <w:p>
      <w:pPr>
        <w:spacing w:after="0"/>
      </w:pPr>
    </w:p>
    <w:p>
      <w:pPr>
        <w:pStyle w:val="Heading2"/>
      </w:pPr>
      <w:r>
        <w:t>First ten working days</w:t>
      </w:r>
    </w:p>
    <w:p>
      <w:r>
        <w:t>Days 1–2: collect retail and restaurant examples, define pilot profiles and appoint the person approving financial rules. Days 3–4: compare a reusable foundation with an original thin checkout and verify licenses. Days 5–6: run physical printer and terminal experiments; document offline limits. Days 7–8: implement executable money fixtures and the smallest local order journal. Days 9–10: demonstrate both sample workflows, choose the technical foundation and revise estimates from observed work.</w:t>
      </w:r>
    </w:p>
    <w:p>
      <w:pPr>
        <w:pStyle w:val="Heading2"/>
      </w:pPr>
      <w:r>
        <w:t>Decisions required before paid infrastructure and live pilots</w:t>
      </w:r>
    </w:p>
    <w:p>
      <w:r>
        <w:t>Confirm the budget and team, business identity, pilot merchants, supported hardware purchases, payment provider and merchant accounts. Establish the source repository and owner-controlled signing accounts. Choose the initial retail category and restaurant service style while retaining both in scope. These decisions affect procurement and production access; research and specification do not require spending.</w:t>
      </w:r>
    </w:p>
    <w:p>
      <w:pPr>
        <w:pStyle w:val="Heading2"/>
      </w:pPr>
      <w:r>
        <w:t>Remaining evidence gaps</w:t>
      </w:r>
    </w:p>
    <w:p>
      <w:r>
        <w:t>Customer demand, willingness to switch and support load remain untested. Exact hardware compatibility, acquiring terms, offline-card support, third-party integration access and expanded provincial obligations remain release blockers. Resolve them through tests and written partner confirmation rather than substituting assumptions. This report completes the research and planning baseline; implementation begins with P01–P05 and the two pilot checkout flows.</w:t>
      </w:r>
    </w:p>
    <w:p>
      <w:pPr>
        <w:pStyle w:val="Heading1"/>
        <w:pageBreakBefore/>
      </w:pPr>
      <w:r>
        <w:t>Sources</w:t>
      </w:r>
    </w:p>
    <w:p>
      <w:r>
        <w:t>Primary sources accessed 9 September 2026. Live prices and feature availability may change. Undated pages are identified as such; repository references describe the viewed branch and are not security assessments.</w:t>
      </w:r>
    </w:p>
    <w:p>
      <w:pPr>
        <w:spacing w:after="240"/>
      </w:pPr>
      <w:r>
        <w:t xml:space="preserve">1. Square. </w:t>
      </w:r>
      <w:hyperlink r:id="rId9">
        <w:r>
          <w:rPr>
            <w:color w:val="000000"/>
          </w:rPr>
          <w:t>Retail POS pricing</w:t>
        </w:r>
      </w:hyperlink>
      <w:r>
        <w:t>. Undated live page.</w:t>
      </w:r>
    </w:p>
    <w:p>
      <w:pPr>
        <w:spacing w:after="240"/>
      </w:pPr>
      <w:r>
        <w:t xml:space="preserve">2. Square. </w:t>
      </w:r>
      <w:hyperlink r:id="rId10">
        <w:r>
          <w:rPr>
            <w:color w:val="000000"/>
          </w:rPr>
          <w:t>Restaurant POS pricing</w:t>
        </w:r>
      </w:hyperlink>
      <w:r>
        <w:t>. Undated live page.</w:t>
      </w:r>
    </w:p>
    <w:p>
      <w:pPr>
        <w:spacing w:after="240"/>
      </w:pPr>
      <w:r>
        <w:t xml:space="preserve">3. Shopify. </w:t>
      </w:r>
      <w:hyperlink r:id="rId11">
        <w:r>
          <w:rPr>
            <w:color w:val="000000"/>
          </w:rPr>
          <w:t>POS pricing Canada</w:t>
        </w:r>
      </w:hyperlink>
      <w:r>
        <w:t>. Undated live page.</w:t>
      </w:r>
    </w:p>
    <w:p>
      <w:pPr>
        <w:spacing w:after="240"/>
      </w:pPr>
      <w:r>
        <w:t xml:space="preserve">4. Lightspeed. </w:t>
      </w:r>
      <w:hyperlink r:id="rId12">
        <w:r>
          <w:rPr>
            <w:color w:val="000000"/>
          </w:rPr>
          <w:t>Retail POS system</w:t>
        </w:r>
      </w:hyperlink>
      <w:r>
        <w:t>. Undated live page.</w:t>
      </w:r>
    </w:p>
    <w:p>
      <w:pPr>
        <w:spacing w:after="240"/>
      </w:pPr>
      <w:r>
        <w:t xml:space="preserve">5. Lightspeed. </w:t>
      </w:r>
      <w:hyperlink r:id="rId13">
        <w:r>
          <w:rPr>
            <w:color w:val="000000"/>
          </w:rPr>
          <w:t>Restaurant POS system</w:t>
        </w:r>
      </w:hyperlink>
      <w:r>
        <w:t>. Undated live page.</w:t>
      </w:r>
    </w:p>
    <w:p>
      <w:pPr>
        <w:spacing w:after="240"/>
      </w:pPr>
      <w:r>
        <w:t xml:space="preserve">6. Toast. </w:t>
      </w:r>
      <w:hyperlink r:id="rId14">
        <w:r>
          <w:rPr>
            <w:color w:val="000000"/>
          </w:rPr>
          <w:t>Canadian product overview</w:t>
        </w:r>
      </w:hyperlink>
      <w:r>
        <w:t>. Undated live page.</w:t>
      </w:r>
    </w:p>
    <w:p>
      <w:pPr>
        <w:spacing w:after="240"/>
      </w:pPr>
      <w:r>
        <w:t xml:space="preserve">7. Square Developer. </w:t>
      </w:r>
      <w:hyperlink r:id="rId15">
        <w:r>
          <w:rPr>
            <w:color w:val="000000"/>
          </w:rPr>
          <w:t>Terminal API overview</w:t>
        </w:r>
      </w:hyperlink>
      <w:r>
        <w:t>. Undated live documentation.</w:t>
      </w:r>
    </w:p>
    <w:p>
      <w:pPr>
        <w:spacing w:after="240"/>
      </w:pPr>
      <w:r>
        <w:t xml:space="preserve">8. Canada Revenue Agency. </w:t>
      </w:r>
      <w:hyperlink r:id="rId16">
        <w:r>
          <w:rPr>
            <w:color w:val="000000"/>
          </w:rPr>
          <w:t>Charge and collect the GST HST</w:t>
        </w:r>
      </w:hyperlink>
      <w:r>
        <w:t>. 8 April 2026.</w:t>
      </w:r>
    </w:p>
    <w:p>
      <w:pPr>
        <w:spacing w:after="240"/>
      </w:pPr>
      <w:r>
        <w:t xml:space="preserve">9. Canada Revenue Agency. </w:t>
      </w:r>
      <w:hyperlink r:id="rId17">
        <w:r>
          <w:rPr>
            <w:color w:val="000000"/>
          </w:rPr>
          <w:t>GI 064 Ontario prepared food and beverage rebate</w:t>
        </w:r>
      </w:hyperlink>
      <w:r>
        <w:t>. July 2010.</w:t>
      </w:r>
    </w:p>
    <w:p>
      <w:pPr>
        <w:spacing w:after="240"/>
      </w:pPr>
      <w:r>
        <w:t xml:space="preserve">10. Office of the Privacy Commissioner. </w:t>
      </w:r>
      <w:hyperlink r:id="rId18">
        <w:r>
          <w:rPr>
            <w:color w:val="000000"/>
          </w:rPr>
          <w:t>PIPEDA fair information principles</w:t>
        </w:r>
      </w:hyperlink>
      <w:r>
        <w:t>. Undated live guidance.</w:t>
      </w:r>
    </w:p>
    <w:p>
      <w:pPr>
        <w:spacing w:after="240"/>
      </w:pPr>
      <w:r>
        <w:t xml:space="preserve">11. Office of the Privacy Commissioner. </w:t>
      </w:r>
      <w:hyperlink r:id="rId19">
        <w:r>
          <w:rPr>
            <w:color w:val="000000"/>
          </w:rPr>
          <w:t>What if there is a privacy breach</w:t>
        </w:r>
      </w:hyperlink>
      <w:r>
        <w:t>. 15 July 2019.</w:t>
      </w:r>
    </w:p>
    <w:p>
      <w:pPr>
        <w:spacing w:after="240"/>
      </w:pPr>
      <w:r>
        <w:t xml:space="preserve">12. Innovation Science and Economic Development Canada. </w:t>
      </w:r>
      <w:hyperlink r:id="rId20">
        <w:r>
          <w:rPr>
            <w:color w:val="000000"/>
          </w:rPr>
          <w:t>Getting consent to send email</w:t>
        </w:r>
      </w:hyperlink>
      <w:r>
        <w:t>. Undated live guidance.</w:t>
      </w:r>
    </w:p>
    <w:p>
      <w:pPr>
        <w:pStyle w:val="Heading1"/>
        <w:pageBreakBefore/>
      </w:pPr>
      <w:r>
        <w:t>Sources continued</w:t>
      </w:r>
    </w:p>
    <w:p>
      <w:r>
        <w:t>Primary sources accessed 9 September 2026. Live prices and feature availability may change. Undated pages are identified as such; repository references describe the viewed branch and are not security assessments.</w:t>
      </w:r>
    </w:p>
    <w:p>
      <w:pPr>
        <w:spacing w:after="240"/>
      </w:pPr>
      <w:r>
        <w:t xml:space="preserve">13. PCI Security Standards Council. </w:t>
      </w:r>
      <w:hyperlink r:id="rId21">
        <w:r>
          <w:rPr>
            <w:color w:val="000000"/>
          </w:rPr>
          <w:t>PCI Data Security Standard</w:t>
        </w:r>
      </w:hyperlink>
      <w:r>
        <w:t>. Undated live standard overview.</w:t>
      </w:r>
    </w:p>
    <w:p>
      <w:pPr>
        <w:spacing w:after="240"/>
      </w:pPr>
      <w:r>
        <w:t xml:space="preserve">14. W3C. </w:t>
      </w:r>
      <w:hyperlink r:id="rId22">
        <w:r>
          <w:rPr>
            <w:color w:val="000000"/>
          </w:rPr>
          <w:t>Web Content Accessibility Guidelines 2.2</w:t>
        </w:r>
      </w:hyperlink>
      <w:r>
        <w:t>. 12 December 2024.</w:t>
      </w:r>
    </w:p>
    <w:p>
      <w:pPr>
        <w:spacing w:after="240"/>
      </w:pPr>
      <w:r>
        <w:t xml:space="preserve">15. SQLite. </w:t>
      </w:r>
      <w:hyperlink r:id="rId23">
        <w:r>
          <w:rPr>
            <w:color w:val="000000"/>
          </w:rPr>
          <w:t>Atomic commit in SQLite</w:t>
        </w:r>
      </w:hyperlink>
      <w:r>
        <w:t>. Undated live documentation.</w:t>
      </w:r>
    </w:p>
    <w:p>
      <w:pPr>
        <w:spacing w:after="240"/>
      </w:pPr>
      <w:r>
        <w:t xml:space="preserve">16. PostgreSQL. </w:t>
      </w:r>
      <w:hyperlink r:id="rId24">
        <w:r>
          <w:rPr>
            <w:color w:val="000000"/>
          </w:rPr>
          <w:t>Row security policies</w:t>
        </w:r>
      </w:hyperlink>
      <w:r>
        <w:t>. Version 18 documentation.</w:t>
      </w:r>
    </w:p>
    <w:p>
      <w:pPr>
        <w:spacing w:after="240"/>
      </w:pPr>
      <w:r>
        <w:t xml:space="preserve">17. Odoo. </w:t>
      </w:r>
      <w:hyperlink r:id="rId25">
        <w:r>
          <w:rPr>
            <w:color w:val="000000"/>
          </w:rPr>
          <w:t>Odoo source repository</w:t>
        </w:r>
      </w:hyperlink>
      <w:r>
        <w:t>. 19.0 branch viewed.</w:t>
      </w:r>
    </w:p>
    <w:p>
      <w:pPr>
        <w:spacing w:after="240"/>
      </w:pPr>
      <w:r>
        <w:t xml:space="preserve">18. Odoo. </w:t>
      </w:r>
      <w:hyperlink r:id="rId26">
        <w:r>
          <w:rPr>
            <w:color w:val="000000"/>
          </w:rPr>
          <w:t>License</w:t>
        </w:r>
      </w:hyperlink>
      <w:r>
        <w:t>. 19.0 branch viewed.</w:t>
      </w:r>
    </w:p>
    <w:p>
      <w:pPr>
        <w:spacing w:after="240"/>
      </w:pPr>
      <w:r>
        <w:t xml:space="preserve">19. Frappe. </w:t>
      </w:r>
      <w:hyperlink r:id="rId27">
        <w:r>
          <w:rPr>
            <w:color w:val="000000"/>
          </w:rPr>
          <w:t>ERPNext source repository</w:t>
        </w:r>
      </w:hyperlink>
      <w:r>
        <w:t>. Repository viewed.</w:t>
      </w:r>
    </w:p>
    <w:p>
      <w:pPr>
        <w:spacing w:after="240"/>
      </w:pPr>
      <w:r>
        <w:t xml:space="preserve">20. Open Source Point of Sale. </w:t>
      </w:r>
      <w:hyperlink r:id="rId28">
        <w:r>
          <w:rPr>
            <w:color w:val="000000"/>
          </w:rPr>
          <w:t>Project and licensing notes</w:t>
        </w:r>
      </w:hyperlink>
      <w:r>
        <w:t>. Repository viewed.</w:t>
      </w:r>
    </w:p>
    <w:p>
      <w:pPr>
        <w:spacing w:after="240"/>
      </w:pPr>
      <w:r>
        <w:t xml:space="preserve">21. Open Source Point of Sale. </w:t>
      </w:r>
      <w:hyperlink r:id="rId29">
        <w:r>
          <w:rPr>
            <w:color w:val="000000"/>
          </w:rPr>
          <w:t>License</w:t>
        </w:r>
      </w:hyperlink>
      <w:r>
        <w:t>. Master branch viewed.</w:t>
      </w:r>
    </w:p>
    <w:p>
      <w:pPr>
        <w:spacing w:after="240"/>
      </w:pPr>
      <w:r>
        <w:t xml:space="preserve">22. Apple Developer. </w:t>
      </w:r>
      <w:hyperlink r:id="rId30">
        <w:r>
          <w:rPr>
            <w:color w:val="000000"/>
          </w:rPr>
          <w:t>Apple Developer Program</w:t>
        </w:r>
      </w:hyperlink>
      <w:r>
        <w:t>. Undated live documentation.</w:t>
      </w:r>
    </w:p>
    <w:p>
      <w:pPr>
        <w:spacing w:after="240"/>
      </w:pPr>
      <w:r>
        <w:t xml:space="preserve">23. Google Play Console Help. </w:t>
      </w:r>
      <w:hyperlink r:id="rId31">
        <w:r>
          <w:rPr>
            <w:color w:val="000000"/>
          </w:rPr>
          <w:t>Testing requirements for new personal developer accounts</w:t>
        </w:r>
      </w:hyperlink>
      <w:r>
        <w:t>. Undated live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20"/>
      </w:pPr>
      <w:r>
        <w:rPr>
          <w:sz w:val="16"/>
        </w:rPr>
        <w:footnoteRef/>
      </w:r>
      <w:r>
        <w:rPr>
          <w:sz w:val="16"/>
        </w:rPr>
        <w:t xml:space="preserve"> Source 6. Toast. </w:t>
      </w:r>
      <w:hyperlink r:id="rId1">
        <w:r>
          <w:rPr>
            <w:sz w:val="16"/>
          </w:rPr>
          <w:t>Canadian product overview. Undated live page.</w:t>
        </w:r>
      </w:hyperlink>
    </w:p>
  </w:footnote>
  <w:footnote w:id="2">
    <w:p>
      <w:pPr>
        <w:spacing w:after="20"/>
      </w:pPr>
      <w:r>
        <w:rPr>
          <w:sz w:val="16"/>
        </w:rPr>
        <w:footnoteRef/>
      </w:r>
      <w:r>
        <w:rPr>
          <w:sz w:val="16"/>
        </w:rPr>
        <w:t xml:space="preserve"> Source 1. Square. </w:t>
      </w:r>
      <w:hyperlink r:id="rId2">
        <w:r>
          <w:rPr>
            <w:sz w:val="16"/>
          </w:rPr>
          <w:t>Retail POS pricing. Undated live page.</w:t>
        </w:r>
      </w:hyperlink>
    </w:p>
  </w:footnote>
  <w:footnote w:id="3">
    <w:p>
      <w:pPr>
        <w:spacing w:after="20"/>
      </w:pPr>
      <w:r>
        <w:rPr>
          <w:sz w:val="16"/>
        </w:rPr>
        <w:footnoteRef/>
      </w:r>
      <w:r>
        <w:rPr>
          <w:sz w:val="16"/>
        </w:rPr>
        <w:t xml:space="preserve"> Source 2. Square. </w:t>
      </w:r>
      <w:hyperlink r:id="rId3">
        <w:r>
          <w:rPr>
            <w:sz w:val="16"/>
          </w:rPr>
          <w:t>Restaurant POS pricing. Undated live page.</w:t>
        </w:r>
      </w:hyperlink>
    </w:p>
  </w:footnote>
  <w:footnote w:id="4">
    <w:p>
      <w:pPr>
        <w:spacing w:after="20"/>
      </w:pPr>
      <w:r>
        <w:rPr>
          <w:sz w:val="16"/>
        </w:rPr>
        <w:footnoteRef/>
      </w:r>
      <w:r>
        <w:rPr>
          <w:sz w:val="16"/>
        </w:rPr>
        <w:t xml:space="preserve"> Source 3. Shopify. </w:t>
      </w:r>
      <w:hyperlink r:id="rId4">
        <w:r>
          <w:rPr>
            <w:sz w:val="16"/>
          </w:rPr>
          <w:t>POS pricing Canada. Undated live page.</w:t>
        </w:r>
      </w:hyperlink>
    </w:p>
  </w:footnote>
  <w:footnote w:id="5">
    <w:p>
      <w:pPr>
        <w:spacing w:after="20"/>
      </w:pPr>
      <w:r>
        <w:rPr>
          <w:sz w:val="16"/>
        </w:rPr>
        <w:footnoteRef/>
      </w:r>
      <w:r>
        <w:rPr>
          <w:sz w:val="16"/>
        </w:rPr>
        <w:t xml:space="preserve"> Source 4. Lightspeed. </w:t>
      </w:r>
      <w:hyperlink r:id="rId5">
        <w:r>
          <w:rPr>
            <w:sz w:val="16"/>
          </w:rPr>
          <w:t>Retail POS system. Undated live page.</w:t>
        </w:r>
      </w:hyperlink>
    </w:p>
  </w:footnote>
  <w:footnote w:id="6">
    <w:p>
      <w:pPr>
        <w:spacing w:after="20"/>
      </w:pPr>
      <w:r>
        <w:rPr>
          <w:sz w:val="16"/>
        </w:rPr>
        <w:footnoteRef/>
      </w:r>
      <w:r>
        <w:rPr>
          <w:sz w:val="16"/>
        </w:rPr>
        <w:t xml:space="preserve"> Source 5. Lightspeed. </w:t>
      </w:r>
      <w:hyperlink r:id="rId6">
        <w:r>
          <w:rPr>
            <w:sz w:val="16"/>
          </w:rPr>
          <w:t>Restaurant POS system. Undated live page.</w:t>
        </w:r>
      </w:hyperlink>
    </w:p>
  </w:footnote>
  <w:footnote w:id="7">
    <w:p>
      <w:pPr>
        <w:spacing w:after="20"/>
      </w:pPr>
      <w:r>
        <w:rPr>
          <w:sz w:val="16"/>
        </w:rPr>
        <w:footnoteRef/>
      </w:r>
      <w:r>
        <w:rPr>
          <w:sz w:val="16"/>
        </w:rPr>
        <w:t xml:space="preserve"> Source 6. Toast. </w:t>
      </w:r>
      <w:hyperlink r:id="rId7">
        <w:r>
          <w:rPr>
            <w:sz w:val="16"/>
          </w:rPr>
          <w:t>Canadian product overview. Undated live page.</w:t>
        </w:r>
      </w:hyperlink>
    </w:p>
  </w:footnote>
  <w:footnote w:id="8">
    <w:p>
      <w:pPr>
        <w:spacing w:after="20"/>
      </w:pPr>
      <w:r>
        <w:rPr>
          <w:sz w:val="16"/>
        </w:rPr>
        <w:footnoteRef/>
      </w:r>
      <w:r>
        <w:rPr>
          <w:sz w:val="16"/>
        </w:rPr>
        <w:t xml:space="preserve"> Source 15. SQLite. </w:t>
      </w:r>
      <w:hyperlink r:id="rId8">
        <w:r>
          <w:rPr>
            <w:sz w:val="16"/>
          </w:rPr>
          <w:t>Atomic commit in SQLite. Undated live documentation.</w:t>
        </w:r>
      </w:hyperlink>
    </w:p>
  </w:footnote>
  <w:footnote w:id="9">
    <w:p>
      <w:pPr>
        <w:spacing w:after="20"/>
      </w:pPr>
      <w:r>
        <w:rPr>
          <w:sz w:val="16"/>
        </w:rPr>
        <w:footnoteRef/>
      </w:r>
      <w:r>
        <w:rPr>
          <w:sz w:val="16"/>
        </w:rPr>
        <w:t xml:space="preserve"> Source 16. PostgreSQL. </w:t>
      </w:r>
      <w:hyperlink r:id="rId9">
        <w:r>
          <w:rPr>
            <w:sz w:val="16"/>
          </w:rPr>
          <w:t>Row security policies. Version 18 documentation.</w:t>
        </w:r>
      </w:hyperlink>
    </w:p>
  </w:footnote>
  <w:footnote w:id="10">
    <w:p>
      <w:pPr>
        <w:spacing w:after="20"/>
      </w:pPr>
      <w:r>
        <w:rPr>
          <w:sz w:val="16"/>
        </w:rPr>
        <w:footnoteRef/>
      </w:r>
      <w:r>
        <w:rPr>
          <w:sz w:val="16"/>
        </w:rPr>
        <w:t xml:space="preserve"> Source 7. Square Developer. </w:t>
      </w:r>
      <w:hyperlink r:id="rId10">
        <w:r>
          <w:rPr>
            <w:sz w:val="16"/>
          </w:rPr>
          <w:t>Terminal API overview. Undated live documentation.</w:t>
        </w:r>
      </w:hyperlink>
    </w:p>
  </w:footnote>
  <w:footnote w:id="11">
    <w:p>
      <w:pPr>
        <w:spacing w:after="20"/>
      </w:pPr>
      <w:r>
        <w:rPr>
          <w:sz w:val="16"/>
        </w:rPr>
        <w:footnoteRef/>
      </w:r>
      <w:r>
        <w:rPr>
          <w:sz w:val="16"/>
        </w:rPr>
        <w:t xml:space="preserve"> Source 8. Canada Revenue Agency. </w:t>
      </w:r>
      <w:hyperlink r:id="rId11">
        <w:r>
          <w:rPr>
            <w:sz w:val="16"/>
          </w:rPr>
          <w:t>Charge and collect the GST HST. 8 April 2026.</w:t>
        </w:r>
      </w:hyperlink>
    </w:p>
  </w:footnote>
  <w:footnote w:id="12">
    <w:p>
      <w:pPr>
        <w:spacing w:after="20"/>
      </w:pPr>
      <w:r>
        <w:rPr>
          <w:sz w:val="16"/>
        </w:rPr>
        <w:footnoteRef/>
      </w:r>
      <w:r>
        <w:rPr>
          <w:sz w:val="16"/>
        </w:rPr>
        <w:t xml:space="preserve"> Source 9. Canada Revenue Agency. </w:t>
      </w:r>
      <w:hyperlink r:id="rId12">
        <w:r>
          <w:rPr>
            <w:sz w:val="16"/>
          </w:rPr>
          <w:t>GI 064 Ontario prepared food and beverage rebate. July 2010.</w:t>
        </w:r>
      </w:hyperlink>
    </w:p>
  </w:footnote>
  <w:footnote w:id="13">
    <w:p>
      <w:pPr>
        <w:spacing w:after="20"/>
      </w:pPr>
      <w:r>
        <w:rPr>
          <w:sz w:val="16"/>
        </w:rPr>
        <w:footnoteRef/>
      </w:r>
      <w:r>
        <w:rPr>
          <w:sz w:val="16"/>
        </w:rPr>
        <w:t xml:space="preserve"> Source 10. Office of the Privacy Commissioner. </w:t>
      </w:r>
      <w:hyperlink r:id="rId13">
        <w:r>
          <w:rPr>
            <w:sz w:val="16"/>
          </w:rPr>
          <w:t>PIPEDA fair information principles. Undated live guidance.</w:t>
        </w:r>
      </w:hyperlink>
    </w:p>
  </w:footnote>
  <w:footnote w:id="14">
    <w:p>
      <w:pPr>
        <w:spacing w:after="20"/>
      </w:pPr>
      <w:r>
        <w:rPr>
          <w:sz w:val="16"/>
        </w:rPr>
        <w:footnoteRef/>
      </w:r>
      <w:r>
        <w:rPr>
          <w:sz w:val="16"/>
        </w:rPr>
        <w:t xml:space="preserve"> Source 11. Office of the Privacy Commissioner. </w:t>
      </w:r>
      <w:hyperlink r:id="rId14">
        <w:r>
          <w:rPr>
            <w:sz w:val="16"/>
          </w:rPr>
          <w:t>What if there is a privacy breach. 15 July 2019.</w:t>
        </w:r>
      </w:hyperlink>
    </w:p>
  </w:footnote>
  <w:footnote w:id="15">
    <w:p>
      <w:pPr>
        <w:spacing w:after="20"/>
      </w:pPr>
      <w:r>
        <w:rPr>
          <w:sz w:val="16"/>
        </w:rPr>
        <w:footnoteRef/>
      </w:r>
      <w:r>
        <w:rPr>
          <w:sz w:val="16"/>
        </w:rPr>
        <w:t xml:space="preserve"> Source 12. Innovation Science and Economic Development Canada. </w:t>
      </w:r>
      <w:hyperlink r:id="rId15">
        <w:r>
          <w:rPr>
            <w:sz w:val="16"/>
          </w:rPr>
          <w:t>Getting consent to send email. Undated live guidance.</w:t>
        </w:r>
      </w:hyperlink>
    </w:p>
  </w:footnote>
  <w:footnote w:id="16">
    <w:p>
      <w:pPr>
        <w:spacing w:after="20"/>
      </w:pPr>
      <w:r>
        <w:rPr>
          <w:sz w:val="16"/>
        </w:rPr>
        <w:footnoteRef/>
      </w:r>
      <w:r>
        <w:rPr>
          <w:sz w:val="16"/>
        </w:rPr>
        <w:t xml:space="preserve"> Source 13. PCI Security Standards Council. </w:t>
      </w:r>
      <w:hyperlink r:id="rId16">
        <w:r>
          <w:rPr>
            <w:sz w:val="16"/>
          </w:rPr>
          <w:t>PCI Data Security Standard. Undated live standard overview.</w:t>
        </w:r>
      </w:hyperlink>
    </w:p>
  </w:footnote>
  <w:footnote w:id="17">
    <w:p>
      <w:pPr>
        <w:spacing w:after="20"/>
      </w:pPr>
      <w:r>
        <w:rPr>
          <w:sz w:val="16"/>
        </w:rPr>
        <w:footnoteRef/>
      </w:r>
      <w:r>
        <w:rPr>
          <w:sz w:val="16"/>
        </w:rPr>
        <w:t xml:space="preserve"> Source 14. W3C. </w:t>
      </w:r>
      <w:hyperlink r:id="rId17">
        <w:r>
          <w:rPr>
            <w:sz w:val="16"/>
          </w:rPr>
          <w:t>Web Content Accessibility Guidelines 2.2. 12 December 2024.</w:t>
        </w:r>
      </w:hyperlink>
    </w:p>
  </w:footnote>
  <w:footnote w:id="18">
    <w:p>
      <w:pPr>
        <w:spacing w:after="20"/>
      </w:pPr>
      <w:r>
        <w:rPr>
          <w:sz w:val="16"/>
        </w:rPr>
        <w:footnoteRef/>
      </w:r>
      <w:r>
        <w:rPr>
          <w:sz w:val="16"/>
        </w:rPr>
        <w:t xml:space="preserve"> Source 17. Odoo. </w:t>
      </w:r>
      <w:hyperlink r:id="rId18">
        <w:r>
          <w:rPr>
            <w:sz w:val="16"/>
          </w:rPr>
          <w:t>Odoo source repository. 19.0 branch viewed.</w:t>
        </w:r>
      </w:hyperlink>
    </w:p>
  </w:footnote>
  <w:footnote w:id="19">
    <w:p>
      <w:pPr>
        <w:spacing w:after="20"/>
      </w:pPr>
      <w:r>
        <w:rPr>
          <w:sz w:val="16"/>
        </w:rPr>
        <w:footnoteRef/>
      </w:r>
      <w:r>
        <w:rPr>
          <w:sz w:val="16"/>
        </w:rPr>
        <w:t xml:space="preserve"> Source 18. Odoo. </w:t>
      </w:r>
      <w:hyperlink r:id="rId19">
        <w:r>
          <w:rPr>
            <w:sz w:val="16"/>
          </w:rPr>
          <w:t>License. 19.0 branch viewed.</w:t>
        </w:r>
      </w:hyperlink>
    </w:p>
  </w:footnote>
  <w:footnote w:id="20">
    <w:p>
      <w:pPr>
        <w:spacing w:after="20"/>
      </w:pPr>
      <w:r>
        <w:rPr>
          <w:sz w:val="16"/>
        </w:rPr>
        <w:footnoteRef/>
      </w:r>
      <w:r>
        <w:rPr>
          <w:sz w:val="16"/>
        </w:rPr>
        <w:t xml:space="preserve"> Source 19. Frappe. </w:t>
      </w:r>
      <w:hyperlink r:id="rId20">
        <w:r>
          <w:rPr>
            <w:sz w:val="16"/>
          </w:rPr>
          <w:t>ERPNext source repository. Repository viewed.</w:t>
        </w:r>
      </w:hyperlink>
    </w:p>
  </w:footnote>
  <w:footnote w:id="21">
    <w:p>
      <w:pPr>
        <w:spacing w:after="20"/>
      </w:pPr>
      <w:r>
        <w:rPr>
          <w:sz w:val="16"/>
        </w:rPr>
        <w:footnoteRef/>
      </w:r>
      <w:r>
        <w:rPr>
          <w:sz w:val="16"/>
        </w:rPr>
        <w:t xml:space="preserve"> Source 20. Open Source Point of Sale. </w:t>
      </w:r>
      <w:hyperlink r:id="rId21">
        <w:r>
          <w:rPr>
            <w:sz w:val="16"/>
          </w:rPr>
          <w:t>Project and licensing notes. Repository viewed.</w:t>
        </w:r>
      </w:hyperlink>
    </w:p>
  </w:footnote>
  <w:footnote w:id="22">
    <w:p>
      <w:pPr>
        <w:spacing w:after="20"/>
      </w:pPr>
      <w:r>
        <w:rPr>
          <w:sz w:val="16"/>
        </w:rPr>
        <w:footnoteRef/>
      </w:r>
      <w:r>
        <w:rPr>
          <w:sz w:val="16"/>
        </w:rPr>
        <w:t xml:space="preserve"> Source 21. Open Source Point of Sale. </w:t>
      </w:r>
      <w:hyperlink r:id="rId22">
        <w:r>
          <w:rPr>
            <w:sz w:val="16"/>
          </w:rPr>
          <w:t>License. Master branch viewed.</w:t>
        </w:r>
      </w:hyperlink>
    </w:p>
  </w:footnote>
  <w:footnote w:id="23">
    <w:p>
      <w:pPr>
        <w:spacing w:after="20"/>
      </w:pPr>
      <w:r>
        <w:rPr>
          <w:sz w:val="16"/>
        </w:rPr>
        <w:footnoteRef/>
      </w:r>
      <w:r>
        <w:rPr>
          <w:sz w:val="16"/>
        </w:rPr>
        <w:t xml:space="preserve"> Source 22. Apple Developer. </w:t>
      </w:r>
      <w:hyperlink r:id="rId23">
        <w:r>
          <w:rPr>
            <w:sz w:val="16"/>
          </w:rPr>
          <w:t>Apple Developer Program. Undated live documentation.</w:t>
        </w:r>
      </w:hyperlink>
    </w:p>
  </w:footnote>
  <w:footnote w:id="24">
    <w:p>
      <w:pPr>
        <w:spacing w:after="20"/>
      </w:pPr>
      <w:r>
        <w:rPr>
          <w:sz w:val="16"/>
        </w:rPr>
        <w:footnoteRef/>
      </w:r>
      <w:r>
        <w:rPr>
          <w:sz w:val="16"/>
        </w:rPr>
        <w:t xml:space="preserve"> Source 23. Google Play Console Help. </w:t>
      </w:r>
      <w:hyperlink r:id="rId24">
        <w:r>
          <w:rPr>
            <w:sz w:val="16"/>
          </w:rPr>
          <w:t>Testing requirements for new personal developer accounts. Undated live documentation.</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quareup.com/ca/en/point-of-sale/retail/pricing" TargetMode="External"/><Relationship Id="rId10" Type="http://schemas.openxmlformats.org/officeDocument/2006/relationships/hyperlink" Target="https://squareup.com/ca/en/point-of-sale/restaurants/pricing" TargetMode="External"/><Relationship Id="rId11" Type="http://schemas.openxmlformats.org/officeDocument/2006/relationships/hyperlink" Target="https://www.shopify.com/ca/pos/pricing" TargetMode="External"/><Relationship Id="rId12" Type="http://schemas.openxmlformats.org/officeDocument/2006/relationships/hyperlink" Target="https://www.lightspeedhq.com/pos/retail/" TargetMode="External"/><Relationship Id="rId13" Type="http://schemas.openxmlformats.org/officeDocument/2006/relationships/hyperlink" Target="https://www.lightspeedhq.com/pos/restaurant/" TargetMode="External"/><Relationship Id="rId14" Type="http://schemas.openxmlformats.org/officeDocument/2006/relationships/hyperlink" Target="https://pos.toasttab.com/ca" TargetMode="External"/><Relationship Id="rId15" Type="http://schemas.openxmlformats.org/officeDocument/2006/relationships/hyperlink" Target="https://developer.squareup.com/docs/terminal-api/overview" TargetMode="External"/><Relationship Id="rId16" Type="http://schemas.openxmlformats.org/officeDocument/2006/relationships/hyperlink" Target="https://www.canada.ca/en/revenue-agency/services/tax/businesses/topics/gst-hst-businesses/charge-collect-which-rate.html" TargetMode="External"/><Relationship Id="rId17" Type="http://schemas.openxmlformats.org/officeDocument/2006/relationships/hyperlink" Target="https://www.canada.ca/en/revenue-agency/services/forms-publications/publications/gi-064/harmonized-sales-tax-ontario-point-sale-rebate-on-prepared-food-beverages.html" TargetMode="External"/><Relationship Id="rId18" Type="http://schemas.openxmlformats.org/officeDocument/2006/relationships/hyperlink" Target="https://www.priv.gc.ca/en/privacy-topics/privacy-laws-in-canada/the-personal-information-protection-and-electronic-documents-act-pipeda/p_principle/" TargetMode="External"/><Relationship Id="rId19" Type="http://schemas.openxmlformats.org/officeDocument/2006/relationships/hyperlink" Target="https://www.priv.gc.ca/en/privacy-topics/privacy-laws-in-canada/the-personal-information-protection-and-electronic-documents-act-pipeda/pipeda-compliance-help/bus_pipeda_intro/bus_101_05/" TargetMode="External"/><Relationship Id="rId20" Type="http://schemas.openxmlformats.org/officeDocument/2006/relationships/hyperlink" Target="https://ised-isde.canada.ca/site/canada-anti-spam-legislation/en/getting-consent-send-email" TargetMode="External"/><Relationship Id="rId21" Type="http://schemas.openxmlformats.org/officeDocument/2006/relationships/hyperlink" Target="https://www.pcisecuritystandards.org/standards/pci-dss/" TargetMode="External"/><Relationship Id="rId22" Type="http://schemas.openxmlformats.org/officeDocument/2006/relationships/hyperlink" Target="https://www.w3.org/TR/WCAG22/" TargetMode="External"/><Relationship Id="rId23" Type="http://schemas.openxmlformats.org/officeDocument/2006/relationships/hyperlink" Target="https://www.sqlite.org/atomiccommit.html" TargetMode="External"/><Relationship Id="rId24" Type="http://schemas.openxmlformats.org/officeDocument/2006/relationships/hyperlink" Target="https://www.postgresql.org/docs/current/ddl-rowsecurity.html" TargetMode="External"/><Relationship Id="rId25" Type="http://schemas.openxmlformats.org/officeDocument/2006/relationships/hyperlink" Target="https://github.com/odoo/odoo" TargetMode="External"/><Relationship Id="rId26" Type="http://schemas.openxmlformats.org/officeDocument/2006/relationships/hyperlink" Target="https://github.com/odoo/odoo/blob/19.0/LICENSE" TargetMode="External"/><Relationship Id="rId27" Type="http://schemas.openxmlformats.org/officeDocument/2006/relationships/hyperlink" Target="https://github.com/frappe/erpnext" TargetMode="External"/><Relationship Id="rId28" Type="http://schemas.openxmlformats.org/officeDocument/2006/relationships/hyperlink" Target="https://github.com/opensourcepos/opensourcepos" TargetMode="External"/><Relationship Id="rId29" Type="http://schemas.openxmlformats.org/officeDocument/2006/relationships/hyperlink" Target="https://github.com/opensourcepos/opensourcepos/blob/master/LICENSE" TargetMode="External"/><Relationship Id="rId30" Type="http://schemas.openxmlformats.org/officeDocument/2006/relationships/hyperlink" Target="https://developer.apple.com/programs/" TargetMode="External"/><Relationship Id="rId31" Type="http://schemas.openxmlformats.org/officeDocument/2006/relationships/hyperlink" Target="https://support.google.com/googleplay/android-developer/answer/14151465" TargetMode="External"/><Relationship Id="rIdPos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pos.toasttab.com/ca" TargetMode="External"/><Relationship Id="rId2" Type="http://schemas.openxmlformats.org/officeDocument/2006/relationships/hyperlink" Target="https://squareup.com/ca/en/point-of-sale/retail/pricing" TargetMode="External"/><Relationship Id="rId3" Type="http://schemas.openxmlformats.org/officeDocument/2006/relationships/hyperlink" Target="https://squareup.com/ca/en/point-of-sale/restaurants/pricing" TargetMode="External"/><Relationship Id="rId4" Type="http://schemas.openxmlformats.org/officeDocument/2006/relationships/hyperlink" Target="https://www.shopify.com/ca/pos/pricing" TargetMode="External"/><Relationship Id="rId5" Type="http://schemas.openxmlformats.org/officeDocument/2006/relationships/hyperlink" Target="https://www.lightspeedhq.com/pos/retail/" TargetMode="External"/><Relationship Id="rId6" Type="http://schemas.openxmlformats.org/officeDocument/2006/relationships/hyperlink" Target="https://www.lightspeedhq.com/pos/restaurant/" TargetMode="External"/><Relationship Id="rId7" Type="http://schemas.openxmlformats.org/officeDocument/2006/relationships/hyperlink" Target="https://pos.toasttab.com/ca" TargetMode="External"/><Relationship Id="rId8" Type="http://schemas.openxmlformats.org/officeDocument/2006/relationships/hyperlink" Target="https://www.sqlite.org/atomiccommit.html" TargetMode="External"/><Relationship Id="rId9" Type="http://schemas.openxmlformats.org/officeDocument/2006/relationships/hyperlink" Target="https://www.postgresql.org/docs/current/ddl-rowsecurity.html" TargetMode="External"/><Relationship Id="rId10" Type="http://schemas.openxmlformats.org/officeDocument/2006/relationships/hyperlink" Target="https://developer.squareup.com/docs/terminal-api/overview" TargetMode="External"/><Relationship Id="rId11" Type="http://schemas.openxmlformats.org/officeDocument/2006/relationships/hyperlink" Target="https://www.canada.ca/en/revenue-agency/services/tax/businesses/topics/gst-hst-businesses/charge-collect-which-rate.html" TargetMode="External"/><Relationship Id="rId12" Type="http://schemas.openxmlformats.org/officeDocument/2006/relationships/hyperlink" Target="https://www.canada.ca/en/revenue-agency/services/forms-publications/publications/gi-064/harmonized-sales-tax-ontario-point-sale-rebate-on-prepared-food-beverages.html" TargetMode="External"/><Relationship Id="rId13" Type="http://schemas.openxmlformats.org/officeDocument/2006/relationships/hyperlink" Target="https://www.priv.gc.ca/en/privacy-topics/privacy-laws-in-canada/the-personal-information-protection-and-electronic-documents-act-pipeda/p_principle/" TargetMode="External"/><Relationship Id="rId14" Type="http://schemas.openxmlformats.org/officeDocument/2006/relationships/hyperlink" Target="https://www.priv.gc.ca/en/privacy-topics/privacy-laws-in-canada/the-personal-information-protection-and-electronic-documents-act-pipeda/pipeda-compliance-help/bus_pipeda_intro/bus_101_05/" TargetMode="External"/><Relationship Id="rId15" Type="http://schemas.openxmlformats.org/officeDocument/2006/relationships/hyperlink" Target="https://ised-isde.canada.ca/site/canada-anti-spam-legislation/en/getting-consent-send-email" TargetMode="External"/><Relationship Id="rId16" Type="http://schemas.openxmlformats.org/officeDocument/2006/relationships/hyperlink" Target="https://www.pcisecuritystandards.org/standards/pci-dss/" TargetMode="External"/><Relationship Id="rId17" Type="http://schemas.openxmlformats.org/officeDocument/2006/relationships/hyperlink" Target="https://www.w3.org/TR/WCAG22/" TargetMode="External"/><Relationship Id="rId18" Type="http://schemas.openxmlformats.org/officeDocument/2006/relationships/hyperlink" Target="https://github.com/odoo/odoo" TargetMode="External"/><Relationship Id="rId19" Type="http://schemas.openxmlformats.org/officeDocument/2006/relationships/hyperlink" Target="https://github.com/odoo/odoo/blob/19.0/LICENSE" TargetMode="External"/><Relationship Id="rId20" Type="http://schemas.openxmlformats.org/officeDocument/2006/relationships/hyperlink" Target="https://github.com/frappe/erpnext" TargetMode="External"/><Relationship Id="rId21" Type="http://schemas.openxmlformats.org/officeDocument/2006/relationships/hyperlink" Target="https://github.com/opensourcepos/opensourcepos" TargetMode="External"/><Relationship Id="rId22" Type="http://schemas.openxmlformats.org/officeDocument/2006/relationships/hyperlink" Target="https://github.com/opensourcepos/opensourcepos/blob/master/LICENSE" TargetMode="External"/><Relationship Id="rId23" Type="http://schemas.openxmlformats.org/officeDocument/2006/relationships/hyperlink" Target="https://developer.apple.com/programs/" TargetMode="External"/><Relationship Id="rId24" Type="http://schemas.openxmlformats.org/officeDocument/2006/relationships/hyperlink" Target="https://support.google.com/googleplay/android-developer/answer/141514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