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ackground-summary"/>
    <w:p>
      <w:pPr>
        <w:pStyle w:val="Heading1"/>
      </w:pPr>
      <w:r>
        <w:t xml:space="preserve">Background &amp; Summary</w:t>
      </w:r>
    </w:p>
    <w:p>
      <w:pPr>
        <w:pStyle w:val="FirstParagraph"/>
      </w:pPr>
      <w:r>
        <w:rPr>
          <w:i/>
          <w:iCs/>
        </w:rPr>
        <w:t xml:space="preserve">Scientific Data Data Descriptor · Section 1 · Target length 500–700 words.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skeleton (Simon keeps voice per submission plan §Work</w:t>
      </w:r>
      <w:r>
        <w:t xml:space="preserve"> </w:t>
      </w:r>
      <w:r>
        <w:t xml:space="preserve">division). This file provides the evidence skeleton and proposed argument</w:t>
      </w:r>
      <w:r>
        <w:t xml:space="preserve"> </w:t>
      </w:r>
      <w:r>
        <w:t xml:space="preserve">thread; final prose is Simon’s.</w:t>
      </w:r>
    </w:p>
    <w:bookmarkStart w:id="9" w:name="opening-hook-50-words"/>
    <w:p>
      <w:pPr>
        <w:pStyle w:val="Heading2"/>
      </w:pPr>
      <w:r>
        <w:t xml:space="preserve">Opening hook (50 words)</w:t>
      </w:r>
    </w:p>
    <w:p>
      <w:pPr>
        <w:pStyle w:val="FirstParagraph"/>
      </w:pPr>
      <w:r>
        <w:t xml:space="preserve">The global renewable build-out now curtails tens of terawatt-hours of</w:t>
      </w:r>
      <w:r>
        <w:t xml:space="preserve"> </w:t>
      </w:r>
      <w:r>
        <w:t xml:space="preserve">clean electricity per year. Where, when, and how much that curtailed</w:t>
      </w:r>
      <w:r>
        <w:t xml:space="preserve"> </w:t>
      </w:r>
      <w:r>
        <w:t xml:space="preserve">energy amounts to has not been synthesised across transmission-system</w:t>
      </w:r>
      <w:r>
        <w:t xml:space="preserve"> </w:t>
      </w:r>
      <w:r>
        <w:t xml:space="preserve">operators at hourly resolution in a single open dataset. This work</w:t>
      </w:r>
      <w:r>
        <w:t xml:space="preserve"> </w:t>
      </w:r>
      <w:r>
        <w:t xml:space="preserve">fills that gap across 384 regions in 195 countries — every UN</w:t>
      </w:r>
      <w:r>
        <w:t xml:space="preserve"> </w:t>
      </w:r>
      <w:r>
        <w:t xml:space="preserve">member state — spanning every inhabited continent.</w:t>
      </w:r>
    </w:p>
    <w:bookmarkEnd w:id="9"/>
    <w:bookmarkStart w:id="10" w:name="why-this-dataset-exists-200-words"/>
    <w:p>
      <w:pPr>
        <w:pStyle w:val="Heading2"/>
      </w:pPr>
      <w:r>
        <w:t xml:space="preserve">Why this dataset exists (200 words)</w:t>
      </w:r>
    </w:p>
    <w:p>
      <w:pPr>
        <w:pStyle w:val="FirstParagraph"/>
      </w:pPr>
      <w:r>
        <w:t xml:space="preserve">Curtailment is the unavoidable counterpart of high-penetration variable</w:t>
      </w:r>
      <w:r>
        <w:t xml:space="preserve"> </w:t>
      </w:r>
      <w:r>
        <w:t xml:space="preserve">generation. As solar and wind build continues outpacing transmission</w:t>
      </w:r>
      <w:r>
        <w:t xml:space="preserve"> </w:t>
      </w:r>
      <w:r>
        <w:t xml:space="preserve">capacity, system operators instruct generators to reduce output more</w:t>
      </w:r>
      <w:r>
        <w:t xml:space="preserve"> </w:t>
      </w:r>
      <w:r>
        <w:t xml:space="preserve">frequently, longer, and at larger scale. The energy loss is neither</w:t>
      </w:r>
      <w:r>
        <w:t xml:space="preserve"> </w:t>
      </w:r>
      <w:r>
        <w:t xml:space="preserve">random nor uniform: it clusters in specific geographies (the Brazilian</w:t>
      </w:r>
      <w:r>
        <w:t xml:space="preserve"> </w:t>
      </w:r>
      <w:r>
        <w:t xml:space="preserve">northeast, the U.S. Southwest Power Pool, Germany north–south</w:t>
      </w:r>
      <w:r>
        <w:t xml:space="preserve"> </w:t>
      </w:r>
      <w:r>
        <w:t xml:space="preserve">transmission, the Iberian peninsula) and at specific hours (solar noon</w:t>
      </w:r>
      <w:r>
        <w:t xml:space="preserve"> </w:t>
      </w:r>
      <w:r>
        <w:t xml:space="preserve">in oversupplied grids, overnight wind-rich weather events in thermally</w:t>
      </w:r>
      <w:r>
        <w:t xml:space="preserve"> </w:t>
      </w:r>
      <w:r>
        <w:t xml:space="preserve">constrained systems).</w:t>
      </w:r>
    </w:p>
    <w:p>
      <w:pPr>
        <w:pStyle w:val="BodyText"/>
      </w:pPr>
      <w:r>
        <w:t xml:space="preserve">Despite its scale, curtailment data is publicly fragmented. ENTSO-E</w:t>
      </w:r>
      <w:r>
        <w:t xml:space="preserve"> </w:t>
      </w:r>
      <w:r>
        <w:t xml:space="preserve">publishes dispatch-down and redispatch volumes by bidding zone; the</w:t>
      </w:r>
      <w:r>
        <w:t xml:space="preserve"> </w:t>
      </w:r>
      <w:r>
        <w:t xml:space="preserve">U.S. EIA reports hourly generation and some ISOs publish market-</w:t>
      </w:r>
      <w:r>
        <w:t xml:space="preserve"> </w:t>
      </w:r>
      <w:r>
        <w:t xml:space="preserve">settled curtailment in post-hoc State-of-the-Market reports; AEMO</w:t>
      </w:r>
      <w:r>
        <w:t xml:space="preserve"> </w:t>
      </w:r>
      <w:r>
        <w:t xml:space="preserve">exposes SCADA via NEMWeb; TSOs outside the OECD publish annual</w:t>
      </w:r>
      <w:r>
        <w:t xml:space="preserve"> </w:t>
      </w:r>
      <w:r>
        <w:t xml:space="preserve">aggregates or not at all. No single source harmonises these into a</w:t>
      </w:r>
      <w:r>
        <w:t xml:space="preserve"> </w:t>
      </w:r>
      <w:r>
        <w:t xml:space="preserve">cross-comparable hourly series. Users who want to estimate global</w:t>
      </w:r>
      <w:r>
        <w:t xml:space="preserve"> </w:t>
      </w:r>
      <w:r>
        <w:t xml:space="preserve">curtailment — for power-system modelling, demand-response siting,</w:t>
      </w:r>
      <w:r>
        <w:t xml:space="preserve"> </w:t>
      </w:r>
      <w:r>
        <w:t xml:space="preserve">interruptible-load feasibility, or the Bitcoin/renewables matching</w:t>
      </w:r>
      <w:r>
        <w:t xml:space="preserve"> </w:t>
      </w:r>
      <w:r>
        <w:t xml:space="preserve">debate that motivates this dataset — have to assemble it themselves.</w:t>
      </w:r>
    </w:p>
    <w:p>
      <w:pPr>
        <w:pStyle w:val="BodyText"/>
      </w:pPr>
      <w:r>
        <w:t xml:space="preserve">This Data Descriptor publishes a seven-year hourly reconstruction</w:t>
      </w:r>
      <w:r>
        <w:t xml:space="preserve"> </w:t>
      </w:r>
      <w:r>
        <w:t xml:space="preserve">(2020–2026) of renewable-electricity curtailment and a separate</w:t>
      </w:r>
      <w:r>
        <w:t xml:space="preserve"> </w:t>
      </w:r>
      <w:r>
        <w:t xml:space="preserve">flat-baseline representation of associated-gas flaring for the</w:t>
      </w:r>
      <w:r>
        <w:t xml:space="preserve"> </w:t>
      </w:r>
      <w:r>
        <w:t xml:space="preserve">regions where gas flaring is the dominant</w:t>
      </w:r>
      <w:r>
        <w:t xml:space="preserve"> </w:t>
      </w:r>
      <w:r>
        <w:t xml:space="preserve">“wasted-energy”</w:t>
      </w:r>
      <w:r>
        <w:t xml:space="preserve"> </w:t>
      </w:r>
      <w:r>
        <w:t xml:space="preserve">source.</w:t>
      </w:r>
    </w:p>
    <w:bookmarkEnd w:id="10"/>
    <w:bookmarkStart w:id="11" w:name="what-the-dataset-contains-150-words"/>
    <w:p>
      <w:pPr>
        <w:pStyle w:val="Heading2"/>
      </w:pPr>
      <w:r>
        <w:t xml:space="preserve">What the dataset contains (150 words)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384 regions across 195 countries.</w:t>
      </w:r>
      <w:r>
        <w:t xml:space="preserve"> </w:t>
      </w:r>
      <w:r>
        <w:t xml:space="preserve">155 in</w:t>
      </w:r>
      <w:r>
        <w:t xml:space="preserve"> </w:t>
      </w:r>
      <w:r>
        <w:rPr>
          <w:rStyle w:val="VerbatimChar"/>
        </w:rPr>
        <w:t xml:space="preserve">T1a-live-tso</w:t>
      </w:r>
      <w:r>
        <w:t xml:space="preserve"> </w:t>
      </w:r>
      <w:r>
        <w:t xml:space="preserve">(own-jurisdiction rate; ENTSO-E and EIA with ERCOT and CAISO</w:t>
      </w:r>
      <w:r>
        <w:t xml:space="preserve"> </w:t>
      </w:r>
      <w:r>
        <w:t xml:space="preserve">sub-zones, split per-fuel where the upstream feed exposes wind</w:t>
      </w:r>
      <w:r>
        <w:t xml:space="preserve"> </w:t>
      </w:r>
      <w:r>
        <w:t xml:space="preserve">and solar separately; AEMO per-state; Elexon per-fuel; ONS</w:t>
      </w:r>
      <w:r>
        <w:t xml:space="preserve"> </w:t>
      </w:r>
      <w:r>
        <w:t xml:space="preserve">Brazil; RTE; Energinet; Elia; IESO; AESO; EMI New Zealand</w:t>
      </w:r>
      <w:r>
        <w:t xml:space="preserve"> </w:t>
      </w:r>
      <w:r>
        <w:t xml:space="preserve">per-fuel; EPİAŞ Turkey per-fuel; Statnett Norway per-fuel; CEN</w:t>
      </w:r>
      <w:r>
        <w:t xml:space="preserve"> </w:t>
      </w:r>
      <w:r>
        <w:t xml:space="preserve">Chile; ADME Uruguay; Nord Pool; Enemalta Malta; 10 Japan</w:t>
      </w:r>
      <w:r>
        <w:t xml:space="preserve"> </w:t>
      </w:r>
      <w:r>
        <w:t xml:space="preserve">utilities — Kyushu, Tohoku, Chugoku, Shikoku, Hokkaido, Kansai,</w:t>
      </w:r>
      <w:r>
        <w:t xml:space="preserve"> </w:t>
      </w:r>
      <w:r>
        <w:t xml:space="preserve">Chubu, TEPCO, Hokuriku, Okinawa; 5 India state SLDCs —</w:t>
      </w:r>
      <w:r>
        <w:t xml:space="preserve"> </w:t>
      </w:r>
      <w:r>
        <w:t xml:space="preserve">Rajasthan, Gujarat, Tamil Nadu, Karnataka, Andhra Pradesh;</w:t>
      </w:r>
      <w:r>
        <w:t xml:space="preserve"> </w:t>
      </w:r>
      <w:r>
        <w:t xml:space="preserve">Maharashtra MSLDC); 9 in</w:t>
      </w:r>
      <w:r>
        <w:t xml:space="preserve"> </w:t>
      </w:r>
      <w:r>
        <w:rPr>
          <w:rStyle w:val="VerbatimChar"/>
        </w:rPr>
        <w:t xml:space="preserve">T1b-live-domestic-anchored</w:t>
      </w:r>
      <w:r>
        <w:t xml:space="preserve"> </w:t>
      </w:r>
      <w:r>
        <w:t xml:space="preserve">(live</w:t>
      </w:r>
      <w:r>
        <w:t xml:space="preserve"> </w:t>
      </w:r>
      <w:r>
        <w:t xml:space="preserve">feed + domestic-stat-agency or modelled-share rate, per-fuel</w:t>
      </w:r>
      <w:r>
        <w:t xml:space="preserve"> </w:t>
      </w:r>
      <w:r>
        <w:t xml:space="preserve">where applicable: Italy-Sardinia wind+solar, Italy-North-Zone</w:t>
      </w:r>
      <w:r>
        <w:t xml:space="preserve"> </w:t>
      </w:r>
      <w:r>
        <w:t xml:space="preserve">wind+solar, Italy-Sicily wind+solar, Netherlands wind+solar,</w:t>
      </w:r>
      <w:r>
        <w:t xml:space="preserve"> </w:t>
      </w:r>
      <w:r>
        <w:t xml:space="preserve">Colombia XM); 1 in</w:t>
      </w:r>
      <w:r>
        <w:t xml:space="preserve"> </w:t>
      </w:r>
      <w:r>
        <w:rPr>
          <w:rStyle w:val="VerbatimChar"/>
        </w:rPr>
        <w:t xml:space="preserve">T1c-live-neighbour-anchored</w:t>
      </w:r>
      <w:r>
        <w:t xml:space="preserve"> </w:t>
      </w:r>
      <w:r>
        <w:t xml:space="preserve">(Switzerland</w:t>
      </w:r>
      <w:r>
        <w:t xml:space="preserve"> </w:t>
      </w:r>
      <w:r>
        <w:t xml:space="preserve">on the Czech CEPS rate); 6 in</w:t>
      </w:r>
      <w:r>
        <w:t xml:space="preserve"> </w:t>
      </w:r>
      <w:r>
        <w:rPr>
          <w:rStyle w:val="VerbatimChar"/>
        </w:rPr>
        <w:t xml:space="preserve">T2-annual-calibrated</w:t>
      </w:r>
      <w:r>
        <w:t xml:space="preserve"> </w:t>
      </w:r>
      <w:r>
        <w:t xml:space="preserve">(Austria</w:t>
      </w:r>
      <w:r>
        <w:t xml:space="preserve"> </w:t>
      </w:r>
      <w:r>
        <w:t xml:space="preserve">APG, Russia Murmansk, and four Chinese hydro provinces — Hunan,</w:t>
      </w:r>
      <w:r>
        <w:t xml:space="preserve"> </w:t>
      </w:r>
      <w:r>
        <w:t xml:space="preserve">Hubei, Guizhou, Chongqing); 8 flare regions (Permian, West</w:t>
      </w:r>
      <w:r>
        <w:t xml:space="preserve"> </w:t>
      </w:r>
      <w:r>
        <w:t xml:space="preserve">Siberia, South Iraq, East Saudi Arabia, Qatar, Kuwait, Russia</w:t>
      </w:r>
      <w:r>
        <w:t xml:space="preserve"> </w:t>
      </w:r>
      <w:r>
        <w:t xml:space="preserve">Yamal-Nenets, Russia East Siberia); 205 in</w:t>
      </w:r>
      <w:r>
        <w:t xml:space="preserve"> </w:t>
      </w:r>
      <w:r>
        <w:rPr>
          <w:rStyle w:val="VerbatimChar"/>
        </w:rPr>
        <w:t xml:space="preserve">T3-modelled</w:t>
      </w:r>
      <w:r>
        <w:t xml:space="preserve"> </w:t>
      </w:r>
      <w:r>
        <w:t xml:space="preserve">(annual anchor + typical shape — covers every remaining UN</w:t>
      </w:r>
      <w:r>
        <w:t xml:space="preserve"> </w:t>
      </w:r>
      <w:r>
        <w:t xml:space="preserve">member state without a public live feed).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Hourly resolution</w:t>
      </w:r>
      <w:r>
        <w:t xml:space="preserve"> </w:t>
      </w:r>
      <w:r>
        <w:t xml:space="preserve">for every live-feed region; hourly</w:t>
      </w:r>
      <w:r>
        <w:t xml:space="preserve"> </w:t>
      </w:r>
      <w:r>
        <w:t xml:space="preserve">reconstruction backfilled to 2020-01-01 where upstream archives</w:t>
      </w:r>
      <w:r>
        <w:t xml:space="preserve"> </w:t>
      </w:r>
      <w:r>
        <w:t xml:space="preserve">support it (2.59 M rows in</w:t>
      </w:r>
      <w:r>
        <w:t xml:space="preserve"> </w:t>
      </w:r>
      <w:r>
        <w:rPr>
          <w:rStyle w:val="VerbatimChar"/>
        </w:rPr>
        <w:t xml:space="preserve">curtailment_backfill.parquet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artefact classes</w:t>
      </w:r>
      <w:r>
        <w:t xml:space="preserve">: per-region JSON snapshots (updated</w:t>
      </w:r>
      <w:r>
        <w:t xml:space="preserve"> </w:t>
      </w:r>
      <w:r>
        <w:t xml:space="preserve">every build), a rolling Parquet history (appended on every build),</w:t>
      </w:r>
      <w:r>
        <w:t xml:space="preserve"> </w:t>
      </w:r>
      <w:r>
        <w:t xml:space="preserve">and the seven-year backfill Parquet.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Per-region provenance and confidence tier</w:t>
      </w:r>
      <w:r>
        <w:t xml:space="preserve"> </w:t>
      </w:r>
      <w:r>
        <w:t xml:space="preserve">on every row.</w:t>
      </w:r>
      <w:r>
        <w:t xml:space="preserve"> </w:t>
      </w:r>
      <w:r>
        <w:t xml:space="preserve">No region silently unlabelled.</w:t>
      </w:r>
    </w:p>
    <w:bookmarkEnd w:id="11"/>
    <w:bookmarkStart w:id="12" w:name="X7928b3e30fe5105a43227e8f44482b28c7ecb6f"/>
    <w:p>
      <w:pPr>
        <w:pStyle w:val="Heading2"/>
      </w:pPr>
      <w:r>
        <w:t xml:space="preserve">What distinguishes this dataset (150 words)</w:t>
      </w:r>
    </w:p>
    <w:p>
      <w:pPr>
        <w:pStyle w:val="FirstParagraph"/>
      </w:pPr>
      <w:r>
        <w:t xml:space="preserve">The dataset is organised on two orthogonal axes (full taxonomy:</w:t>
      </w:r>
      <w:r>
        <w:t xml:space="preserve"> </w:t>
      </w:r>
      <w:r>
        <w:rPr>
          <w:rStyle w:val="VerbatimChar"/>
        </w:rPr>
        <w:t xml:space="preserve">docs/methodology/taxonomy.md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documented-gap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out-of-scope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curtailment-renewable</w:t>
            </w:r>
          </w:p>
        </w:tc>
        <w:tc>
          <w:tcPr/>
          <w:p>
            <w:pPr>
              <w:pStyle w:val="Compact"/>
            </w:pPr>
            <w:r>
              <w:t xml:space="preserve">384 regions across 195 countries: live ENTSO-E/EIA/AEMO/Elexon/etc.; T2 calibrated; T3 modelled.</w:t>
            </w:r>
          </w:p>
        </w:tc>
        <w:tc>
          <w:tcPr/>
          <w:p>
            <w:pPr>
              <w:pStyle w:val="Compact"/>
            </w:pPr>
            <w:r>
              <w:t xml:space="preserve">Mexico CENACE, parts of SE Asia, Iran solar… (see</w:t>
            </w:r>
            <w:r>
              <w:t xml:space="preserve"> </w:t>
            </w:r>
            <w:r>
              <w:rPr>
                <w:rStyle w:val="VerbatimChar"/>
              </w:rPr>
              <w:t xml:space="preserve">docs/known-limitations.md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Antarctica, Vatican, Greenland (~all baseload thermal/diesel)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flare-associated-gas</w:t>
            </w:r>
          </w:p>
        </w:tc>
        <w:tc>
          <w:tcPr/>
          <w:p>
            <w:pPr>
              <w:pStyle w:val="Compact"/>
            </w:pPr>
            <w:r>
              <w:t xml:space="preserve">8 regions: Permian, West Siberia, South Iraq, East Saudi Arabia, Qatar, Kuwait, Russia Yamal-Nenets, Russia East Siberia.</w:t>
            </w:r>
          </w:p>
        </w:tc>
        <w:tc>
          <w:tcPr/>
          <w:p>
            <w:pPr>
              <w:pStyle w:val="Compact"/>
            </w:pPr>
            <w:r>
              <w:t xml:space="preserve">Iran flaring (no GGFR-equivalent disaggregation).</w:t>
            </w:r>
          </w:p>
        </w:tc>
        <w:tc>
          <w:tcPr/>
          <w:p>
            <w:pPr>
              <w:pStyle w:val="Compact"/>
            </w:pPr>
            <w:r>
              <w:t xml:space="preserve">Small flares &lt; 1 Bcm/yr</w:t>
            </w:r>
          </w:p>
        </w:tc>
      </w:tr>
    </w:tbl>
    <w:p>
      <w:pPr>
        <w:pStyle w:val="BodyText"/>
      </w:pPr>
      <w:r>
        <w:t xml:space="preserve">Three aspects set this work apart: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Reproducibility-first.</w:t>
      </w:r>
      <w:r>
        <w:t xml:space="preserve"> </w:t>
      </w:r>
      <w:r>
        <w:t xml:space="preserve">Every loader is deterministic given</w:t>
      </w:r>
      <w:r>
        <w:t xml:space="preserve"> </w:t>
      </w:r>
      <w:r>
        <w:t xml:space="preserve">its upstream response. Every figure is regenerable from</w:t>
      </w:r>
      <w:r>
        <w:t xml:space="preserve"> </w:t>
      </w:r>
      <w:r>
        <w:t xml:space="preserve">committed source data on a clean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+</w:t>
      </w:r>
      <w:r>
        <w:rPr>
          <w:rStyle w:val="VerbatimChar"/>
        </w:rPr>
        <w:t xml:space="preserve">pyarrow</w:t>
      </w:r>
      <w:r>
        <w:t xml:space="preserve"> </w:t>
      </w:r>
      <w:r>
        <w:t xml:space="preserve">install.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Honest coverage.</w:t>
      </w:r>
      <w:r>
        <w:t xml:space="preserve"> </w:t>
      </w:r>
      <w:r>
        <w:t xml:space="preserve">Gap regions are documented, not invented.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Tier-explicit uncertainty.</w:t>
      </w:r>
      <w:r>
        <w:t xml:space="preserve"> </w:t>
      </w:r>
      <w:r>
        <w:t xml:space="preserve">Every emitted value carries a</w:t>
      </w:r>
      <w:r>
        <w:t xml:space="preserve"> </w:t>
      </w:r>
      <w:r>
        <w:t xml:space="preserve">confidence tier (T1a ±15%, T1b ±50% empirical, T1c ±35.5%</w:t>
      </w:r>
      <w:r>
        <w:t xml:space="preserve"> </w:t>
      </w:r>
      <w:r>
        <w:t xml:space="preserve">empirical, T2 ±20%, T3 ±40%) with an envelope grounded either in</w:t>
      </w:r>
      <w:r>
        <w:t xml:space="preserve"> </w:t>
      </w:r>
      <w:r>
        <w:t xml:space="preserve">observed backfill variance or in the upstream publisher’s own</w:t>
      </w:r>
      <w:r>
        <w:t xml:space="preserve"> </w:t>
      </w:r>
      <w:r>
        <w:t xml:space="preserve">stated precision.</w:t>
      </w:r>
    </w:p>
    <w:bookmarkEnd w:id="12"/>
    <w:bookmarkStart w:id="13" w:name="companion-analysis-100-words"/>
    <w:p>
      <w:pPr>
        <w:pStyle w:val="Heading2"/>
      </w:pPr>
      <w:r>
        <w:t xml:space="preserve">Companion analysis (100 words)</w:t>
      </w:r>
    </w:p>
    <w:p>
      <w:pPr>
        <w:pStyle w:val="FirstParagraph"/>
      </w:pPr>
      <w:r>
        <w:t xml:space="preserve">This Data Descriptor is submitted alongside a companion analysis</w:t>
      </w:r>
      <w:r>
        <w:t xml:space="preserve"> </w:t>
      </w:r>
      <w:r>
        <w:t xml:space="preserve">paper (target: Joule or Applied Energy) that uses the dataset to</w:t>
      </w:r>
      <w:r>
        <w:t xml:space="preserve"> </w:t>
      </w:r>
      <w:r>
        <w:t xml:space="preserve">test the specific hypothesis that an interruptible load such as</w:t>
      </w:r>
      <w:r>
        <w:t xml:space="preserve"> </w:t>
      </w:r>
      <w:r>
        <w:t xml:space="preserve">Bitcoin mining, sited and dispatched against curtailment hotspots,</w:t>
      </w:r>
      <w:r>
        <w:t xml:space="preserve"> </w:t>
      </w:r>
      <w:r>
        <w:t xml:space="preserve">could absorb the observed waste at scale. Acceptance of this Data</w:t>
      </w:r>
      <w:r>
        <w:t xml:space="preserve"> </w:t>
      </w:r>
      <w:r>
        <w:t xml:space="preserve">Descriptor does not depend on the companion claim: the dataset</w:t>
      </w:r>
      <w:r>
        <w:t xml:space="preserve"> </w:t>
      </w:r>
      <w:r>
        <w:t xml:space="preserve">is intended to be useful to any renewable-integration,</w:t>
      </w:r>
      <w:r>
        <w:t xml:space="preserve"> </w:t>
      </w:r>
      <w:r>
        <w:t xml:space="preserve">grid-planning, power-systems-modelling, or waste-heat-economy</w:t>
      </w:r>
      <w:r>
        <w:t xml:space="preserve"> </w:t>
      </w:r>
      <w:r>
        <w:t xml:space="preserve">research programme, regardless of the authors’ specific interest.</w:t>
      </w:r>
    </w:p>
    <w:bookmarkEnd w:id="13"/>
    <w:bookmarkStart w:id="14" w:name="cross-references-for-reviewer"/>
    <w:p>
      <w:pPr>
        <w:pStyle w:val="Heading2"/>
      </w:pPr>
      <w:r>
        <w:t xml:space="preserve">Cross-references for reviewer</w:t>
      </w:r>
    </w:p>
    <w:p>
      <w:pPr>
        <w:pStyle w:val="Compact"/>
        <w:numPr>
          <w:ilvl w:val="0"/>
          <w:numId w:val="1003"/>
        </w:numPr>
      </w:pPr>
      <w:r>
        <w:t xml:space="preserve">Global curtailment snapshot:</w:t>
      </w:r>
      <w:r>
        <w:t xml:space="preserve"> </w:t>
      </w:r>
      <w:r>
        <w:rPr>
          <w:b/>
          <w:bCs/>
        </w:rPr>
        <w:t xml:space="preserve">Figure 1</w:t>
      </w:r>
      <w:r>
        <w:t xml:space="preserve"> </w:t>
      </w:r>
      <w:r>
        <w:t xml:space="preserve">+ caption.</w:t>
      </w:r>
    </w:p>
    <w:p>
      <w:pPr>
        <w:pStyle w:val="Compact"/>
        <w:numPr>
          <w:ilvl w:val="0"/>
          <w:numId w:val="1003"/>
        </w:numPr>
      </w:pPr>
      <w:r>
        <w:t xml:space="preserve">Backfill-vs-anchor validation:</w:t>
      </w:r>
      <w:r>
        <w:t xml:space="preserve"> </w:t>
      </w:r>
      <w:r>
        <w:rPr>
          <w:b/>
          <w:bCs/>
        </w:rPr>
        <w:t xml:space="preserve">Figure 2</w:t>
      </w:r>
      <w:r>
        <w:t xml:space="preserve"> </w:t>
      </w:r>
      <w:r>
        <w:t xml:space="preserve">+ caption +</w:t>
      </w:r>
      <w:r>
        <w:t xml:space="preserve"> </w:t>
      </w:r>
      <w:r>
        <w:rPr>
          <w:rStyle w:val="VerbatimChar"/>
        </w:rPr>
        <w:t xml:space="preserve">docs/methodology/validation-discrepancies.md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Seven-year temporal trace:</w:t>
      </w:r>
      <w:r>
        <w:t xml:space="preserve"> </w:t>
      </w:r>
      <w:r>
        <w:rPr>
          <w:b/>
          <w:bCs/>
        </w:rPr>
        <w:t xml:space="preserve">Figure 3</w:t>
      </w:r>
      <w:r>
        <w:t xml:space="preserve"> </w:t>
      </w:r>
      <w:r>
        <w:t xml:space="preserve">+ caption.</w:t>
      </w:r>
    </w:p>
    <w:p>
      <w:pPr>
        <w:pStyle w:val="Compact"/>
        <w:numPr>
          <w:ilvl w:val="0"/>
          <w:numId w:val="1003"/>
        </w:numPr>
      </w:pPr>
      <w:r>
        <w:t xml:space="preserve">Per-region confidence-tier coverage:</w:t>
      </w:r>
      <w:r>
        <w:t xml:space="preserve"> </w:t>
      </w:r>
      <w:r>
        <w:rPr>
          <w:b/>
          <w:bCs/>
        </w:rPr>
        <w:t xml:space="preserve">Figure 4</w:t>
      </w:r>
      <w:r>
        <w:t xml:space="preserve"> </w:t>
      </w:r>
      <w:r>
        <w:t xml:space="preserve">+ caption.</w:t>
      </w:r>
    </w:p>
    <w:p>
      <w:pPr>
        <w:pStyle w:val="Compact"/>
        <w:numPr>
          <w:ilvl w:val="0"/>
          <w:numId w:val="1003"/>
        </w:numPr>
      </w:pPr>
      <w:r>
        <w:t xml:space="preserve">Top-20 regions annual timeseries:</w:t>
      </w:r>
      <w:r>
        <w:t xml:space="preserve"> </w:t>
      </w:r>
      <w:r>
        <w:rPr>
          <w:b/>
          <w:bCs/>
        </w:rPr>
        <w:t xml:space="preserve">Figure 5</w:t>
      </w:r>
      <w:r>
        <w:t xml:space="preserve"> </w:t>
      </w:r>
      <w:r>
        <w:t xml:space="preserve">+ caption.</w:t>
      </w:r>
    </w:p>
    <w:bookmarkEnd w:id="14"/>
    <w:bookmarkStart w:id="15" w:name="citation-context"/>
    <w:p>
      <w:pPr>
        <w:pStyle w:val="Heading2"/>
      </w:pPr>
      <w:r>
        <w:t xml:space="preserve">Citation context</w:t>
      </w:r>
    </w:p>
    <w:p>
      <w:pPr>
        <w:pStyle w:val="FirstParagraph"/>
      </w:pPr>
      <w:r>
        <w:t xml:space="preserve">Once the companion paper is published, this section will cite it in</w:t>
      </w:r>
      <w:r>
        <w:t xml:space="preserve"> </w:t>
      </w:r>
      <w:r>
        <w:t xml:space="preserve">the final paragraph. In the interim, cite the Data Descriptor alone</w:t>
      </w:r>
      <w:r>
        <w:t xml:space="preserve"> </w:t>
      </w:r>
      <w:r>
        <w:t xml:space="preserve">via the Zenodo DOI recorded in</w:t>
      </w:r>
      <w:r>
        <w:t xml:space="preserve"> </w:t>
      </w:r>
      <w:r>
        <w:rPr>
          <w:rStyle w:val="VerbatimChar"/>
        </w:rPr>
        <w:t xml:space="preserve">dataset/CITATION.cff</w:t>
      </w:r>
      <w:r>
        <w:t xml:space="preserve"> </w:t>
      </w:r>
      <w:r>
        <w:t xml:space="preserve">and visible in</w:t>
      </w:r>
      <w:r>
        <w:t xml:space="preserve"> </w:t>
      </w:r>
      <w:r>
        <w:t xml:space="preserve">the repository Zenodo badge.</w:t>
      </w:r>
    </w:p>
    <w:bookmarkEnd w:id="15"/>
    <w:bookmarkEnd w:id="16"/>
    <w:bookmarkStart w:id="27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rPr>
          <w:i/>
          <w:iCs/>
        </w:rPr>
        <w:t xml:space="preserve">Scientific Data Data Descriptor · Section 2 · Target length 1500–3000</w:t>
      </w:r>
      <w:r>
        <w:rPr>
          <w:i/>
          <w:iCs/>
        </w:rPr>
        <w:t xml:space="preserve"> </w:t>
      </w:r>
      <w:r>
        <w:rPr>
          <w:i/>
          <w:iCs/>
        </w:rPr>
        <w:t xml:space="preserve">words.</w:t>
      </w:r>
    </w:p>
    <w:bookmarkStart w:id="17" w:name="scope-and-definitions"/>
    <w:p>
      <w:pPr>
        <w:pStyle w:val="Heading2"/>
      </w:pPr>
      <w:r>
        <w:t xml:space="preserve">2.1 Scope and definitions</w:t>
      </w:r>
    </w:p>
    <w:p>
      <w:pPr>
        <w:pStyle w:val="FirstParagraph"/>
      </w:pPr>
      <w:r>
        <w:rPr>
          <w:b/>
          <w:bCs/>
        </w:rPr>
        <w:t xml:space="preserve">Curtailment</w:t>
      </w:r>
      <w:r>
        <w:t xml:space="preserve"> </w:t>
      </w:r>
      <w:r>
        <w:t xml:space="preserve">in this dataset is electricity that could have been</w:t>
      </w:r>
      <w:r>
        <w:t xml:space="preserve"> </w:t>
      </w:r>
      <w:r>
        <w:t xml:space="preserve">generated by a committed renewable asset but was not, owing to an</w:t>
      </w:r>
      <w:r>
        <w:t xml:space="preserve"> </w:t>
      </w:r>
      <w:r>
        <w:t xml:space="preserve">instruction from a system operator, a market rule, or a transmission</w:t>
      </w:r>
      <w:r>
        <w:t xml:space="preserve"> </w:t>
      </w:r>
      <w:r>
        <w:t xml:space="preserve">constraint. It encompasses four operationally distinct phenomena that</w:t>
      </w:r>
      <w:r>
        <w:t xml:space="preserve"> </w:t>
      </w:r>
      <w:r>
        <w:t xml:space="preserve">the dataset treats as a single class: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Dispatch-down</w:t>
      </w:r>
      <w:r>
        <w:t xml:space="preserve"> </w:t>
      </w:r>
      <w:r>
        <w:t xml:space="preserve">— generation instructed below available output by</w:t>
      </w:r>
      <w:r>
        <w:t xml:space="preserve"> </w:t>
      </w:r>
      <w:r>
        <w:t xml:space="preserve">a system operator (EirGrid SNSP curtailment, AEMO SEMIDISPATCHCAP).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Constrained-off</w:t>
      </w:r>
      <w:r>
        <w:t xml:space="preserve"> </w:t>
      </w:r>
      <w:r>
        <w:t xml:space="preserve">— generation prevented by a transmission limit</w:t>
      </w:r>
      <w:r>
        <w:t xml:space="preserve"> </w:t>
      </w:r>
      <w:r>
        <w:t xml:space="preserve">(ONS Brazil</w:t>
      </w:r>
      <w:r>
        <w:t xml:space="preserve"> </w:t>
      </w:r>
      <w:r>
        <w:rPr>
          <w:rStyle w:val="VerbatimChar"/>
        </w:rPr>
        <w:t xml:space="preserve">restricao_coff</w:t>
      </w:r>
      <w:r>
        <w:t xml:space="preserve">, Eskom Northern Cape constraints).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Spill</w:t>
      </w:r>
      <w:r>
        <w:t xml:space="preserve"> </w:t>
      </w:r>
      <w:r>
        <w:t xml:space="preserve">— hydroelectric inflow exceeding dispatch or reservoir</w:t>
      </w:r>
      <w:r>
        <w:t xml:space="preserve"> </w:t>
      </w:r>
      <w:r>
        <w:t xml:space="preserve">absorption (Itaipu flood-stage, Sichuan monsoon).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Steam venting</w:t>
      </w:r>
      <w:r>
        <w:t xml:space="preserve"> </w:t>
      </w:r>
      <w:r>
        <w:t xml:space="preserve">— geothermal generation exceeding overnight</w:t>
      </w:r>
      <w:r>
        <w:t xml:space="preserve"> </w:t>
      </w:r>
      <w:r>
        <w:t xml:space="preserve">demand (Kenya Olkaria, per EPRA 2025).</w:t>
      </w:r>
    </w:p>
    <w:p>
      <w:pPr>
        <w:pStyle w:val="FirstParagraph"/>
      </w:pPr>
      <w:r>
        <w:t xml:space="preserve">Flared natural gas is tracked separately and represented as flat 24/7</w:t>
      </w:r>
      <w:r>
        <w:t xml:space="preserve"> </w:t>
      </w:r>
      <w:r>
        <w:t xml:space="preserve">base-load (methodologically correct — flare is continuous, not</w:t>
      </w:r>
      <w:r>
        <w:t xml:space="preserve"> </w:t>
      </w:r>
      <w:r>
        <w:t xml:space="preserve">diurnal). It is excluded from the headline curtailment total.</w:t>
      </w:r>
    </w:p>
    <w:p>
      <w:pPr>
        <w:pStyle w:val="BodyText"/>
      </w:pPr>
      <w:r>
        <w:rPr>
          <w:b/>
          <w:bCs/>
        </w:rPr>
        <w:t xml:space="preserve">Regions.</w:t>
      </w:r>
      <w:r>
        <w:t xml:space="preserve"> </w:t>
      </w:r>
      <w:r>
        <w:t xml:space="preserve">Each region is the smallest unit at which the responsible</w:t>
      </w:r>
      <w:r>
        <w:t xml:space="preserve"> </w:t>
      </w:r>
      <w:r>
        <w:t xml:space="preserve">grid operator publishes dispatch data: ISO (CAISO, ERCOT-West,</w:t>
      </w:r>
      <w:r>
        <w:t xml:space="preserve"> </w:t>
      </w:r>
      <w:r>
        <w:t xml:space="preserve">ERCOT-East, MISO, SPP, NYISO, ISO-NE, PJM, BPA) for large U.S.</w:t>
      </w:r>
      <w:r>
        <w:t xml:space="preserve"> </w:t>
      </w:r>
      <w:r>
        <w:t xml:space="preserve">interconnections; bidding zone for ENTSO-E Transparency (Germany,</w:t>
      </w:r>
      <w:r>
        <w:t xml:space="preserve"> </w:t>
      </w:r>
      <w:r>
        <w:t xml:space="preserve">Iberia, Portugal, Finland, Netherlands, Poland, Greece, Romania,</w:t>
      </w:r>
      <w:r>
        <w:t xml:space="preserve"> </w:t>
      </w:r>
      <w:r>
        <w:t xml:space="preserve">Italy-North, Italy-South, Italy-Sardinia, Sweden-N, Sweden-S, Hungary,</w:t>
      </w:r>
      <w:r>
        <w:t xml:space="preserve"> </w:t>
      </w:r>
      <w:r>
        <w:t xml:space="preserve">Czech Republic, Bulgaria, Baltics, Switzerland — plus the five Norway</w:t>
      </w:r>
      <w:r>
        <w:t xml:space="preserve"> </w:t>
      </w:r>
      <w:r>
        <w:t xml:space="preserve">zones NO1–NO5 fetched against the ENTSO-E NO domains); national TSO</w:t>
      </w:r>
      <w:r>
        <w:t xml:space="preserve"> </w:t>
      </w:r>
      <w:r>
        <w:t xml:space="preserve">feed where the operator publishes its own series outside ENTSO-E</w:t>
      </w:r>
      <w:r>
        <w:t xml:space="preserve"> </w:t>
      </w:r>
      <w:r>
        <w:t xml:space="preserve">(France via RTE eco2mix, Denmark via Energinet, Belgium via Elia,</w:t>
      </w:r>
      <w:r>
        <w:t xml:space="preserve"> </w:t>
      </w:r>
      <w:r>
        <w:t xml:space="preserve">UK North Sea via Elexon BMRS, Ireland via EirGrid, Norway zone</w:t>
      </w:r>
      <w:r>
        <w:t xml:space="preserve"> </w:t>
      </w:r>
      <w:r>
        <w:t xml:space="preserve">totals via Nord Pool); sub-state constraint region for Brazil (five</w:t>
      </w:r>
      <w:r>
        <w:t xml:space="preserve"> </w:t>
      </w:r>
      <w:r>
        <w:t xml:space="preserve">Northeast states — Ceará, Rio Grande do Norte, Bahia, Piauí,</w:t>
      </w:r>
      <w:r>
        <w:t xml:space="preserve"> </w:t>
      </w:r>
      <w:r>
        <w:t xml:space="preserve">Pernambuco — plus six South/Centre-South states — Minas Gerais, São</w:t>
      </w:r>
      <w:r>
        <w:t xml:space="preserve"> </w:t>
      </w:r>
      <w:r>
        <w:t xml:space="preserve">Paulo, Mato Grosso, Goiás, Paraná, Rio Grande do Sul — and a catch-all</w:t>
      </w:r>
      <w:r>
        <w:t xml:space="preserve"> </w:t>
      </w:r>
      <w:r>
        <w:t xml:space="preserve">NE-other bucket); per-utility area for Japan (10 TSO control areas:</w:t>
      </w:r>
      <w:r>
        <w:t xml:space="preserve"> </w:t>
      </w:r>
      <w:r>
        <w:t xml:space="preserve">Kyushu, Tohoku, Chugoku, Shikoku, Hokkaido, Kansai, Chubu, TEPCO</w:t>
      </w:r>
      <w:r>
        <w:t xml:space="preserve"> </w:t>
      </w:r>
      <w:r>
        <w:t xml:space="preserve">Power Grid, Hokuriku, Okinawa); and national grid for countries</w:t>
      </w:r>
      <w:r>
        <w:t xml:space="preserve"> </w:t>
      </w:r>
      <w:r>
        <w:t xml:space="preserve">without public sub-national data. Total: 384 regions in 195</w:t>
      </w:r>
      <w:r>
        <w:t xml:space="preserve"> </w:t>
      </w:r>
      <w:r>
        <w:t xml:space="preserve">countries — every UN member state. Stable</w:t>
      </w:r>
      <w:r>
        <w:t xml:space="preserve"> </w:t>
      </w:r>
      <w:r>
        <w:t xml:space="preserve">kebab-case IDs defined in</w:t>
      </w:r>
      <w:r>
        <w:t xml:space="preserve"> </w:t>
      </w:r>
      <w:r>
        <w:rPr>
          <w:rStyle w:val="VerbatimChar"/>
        </w:rPr>
        <w:t xml:space="preserve">src/lib/regions.ts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Time resolution.</w:t>
      </w:r>
      <w:r>
        <w:t xml:space="preserve"> </w:t>
      </w:r>
      <w:r>
        <w:t xml:space="preserve">Hourly UTC. Finer-cadence upstream feeds</w:t>
      </w:r>
      <w:r>
        <w:t xml:space="preserve"> </w:t>
      </w:r>
      <w:r>
        <w:t xml:space="preserve">(ENTSO-E 15 min, Elexon BMRS 30 min) are averaged to hourly.</w:t>
      </w:r>
      <w:r>
        <w:t xml:space="preserve"> </w:t>
      </w:r>
      <w:r>
        <w:rPr>
          <w:rStyle w:val="VerbatimChar"/>
        </w:rPr>
        <w:t xml:space="preserve">profile[24]</w:t>
      </w:r>
      <w:r>
        <w:t xml:space="preserve"> </w:t>
      </w:r>
      <w:r>
        <w:t xml:space="preserve">is the 30-day trailing average in GW per UTC hour;</w:t>
      </w:r>
      <w:r>
        <w:t xml:space="preserve"> </w:t>
      </w:r>
      <w:r>
        <w:rPr>
          <w:rStyle w:val="VerbatimChar"/>
        </w:rPr>
        <w:t xml:space="preserve">latestProfile[24]</w:t>
      </w:r>
      <w:r>
        <w:t xml:space="preserve"> </w:t>
      </w:r>
      <w:r>
        <w:t xml:space="preserve">is the single-day latest snapshot.</w:t>
      </w:r>
    </w:p>
    <w:bookmarkEnd w:id="17"/>
    <w:bookmarkStart w:id="18" w:name="upstream-sources-and-fetch-protocol"/>
    <w:p>
      <w:pPr>
        <w:pStyle w:val="Heading2"/>
      </w:pPr>
      <w:r>
        <w:t xml:space="preserve">2.2 Upstream sources and fetch protocol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Regions</w:t>
            </w:r>
          </w:p>
        </w:tc>
        <w:tc>
          <w:tcPr/>
          <w:p>
            <w:pPr>
              <w:pStyle w:val="Compact"/>
            </w:pPr>
            <w:r>
              <w:t xml:space="preserve">Fetch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ENTSO-E Transparency</w:t>
            </w:r>
          </w:p>
        </w:tc>
        <w:tc>
          <w:tcPr/>
          <w:p>
            <w:pPr>
              <w:pStyle w:val="Compact"/>
            </w:pPr>
            <w:r>
              <w:t xml:space="preserve">18 bidding zones</w:t>
            </w:r>
          </w:p>
        </w:tc>
        <w:tc>
          <w:tcPr/>
          <w:p>
            <w:pPr>
              <w:pStyle w:val="Compact"/>
            </w:pPr>
            <w:r>
              <w:t xml:space="preserve">REST API, XML response,</w:t>
            </w:r>
            <w:r>
              <w:t xml:space="preserve"> </w:t>
            </w:r>
            <w:r>
              <w:rPr>
                <w:rStyle w:val="VerbatimChar"/>
              </w:rPr>
              <w:t xml:space="preserve">security-token</w:t>
            </w:r>
            <w:r>
              <w:t xml:space="preserve"> </w:t>
            </w:r>
            <w:r>
              <w:t xml:space="preserve">param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ENTSO-E NO domains (Norway)</w:t>
            </w:r>
          </w:p>
        </w:tc>
        <w:tc>
          <w:tcPr/>
          <w:p>
            <w:pPr>
              <w:pStyle w:val="Compact"/>
            </w:pPr>
            <w:r>
              <w:t xml:space="preserve">5 NO zones</w:t>
            </w:r>
          </w:p>
        </w:tc>
        <w:tc>
          <w:tcPr/>
          <w:p>
            <w:pPr>
              <w:pStyle w:val="Compact"/>
            </w:pPr>
            <w:r>
              <w:t xml:space="preserve">REST API, XML response (Nord Pool zone-level)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EIA Hourly Electric Grid Monitor</w:t>
            </w:r>
          </w:p>
        </w:tc>
        <w:tc>
          <w:tcPr/>
          <w:p>
            <w:pPr>
              <w:pStyle w:val="Compact"/>
            </w:pPr>
            <w:r>
              <w:t xml:space="preserve">9 U.S. ISOs</w:t>
            </w:r>
          </w:p>
        </w:tc>
        <w:tc>
          <w:tcPr/>
          <w:p>
            <w:pPr>
              <w:pStyle w:val="Compact"/>
            </w:pPr>
            <w:r>
              <w:t xml:space="preserve">REST API, JSON,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param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AEMO NEMWeb</w:t>
            </w:r>
          </w:p>
        </w:tc>
        <w:tc>
          <w:tcPr/>
          <w:p>
            <w:pPr>
              <w:pStyle w:val="Compact"/>
            </w:pPr>
            <w:r>
              <w:t xml:space="preserve">5 Australian states</w:t>
            </w:r>
          </w:p>
        </w:tc>
        <w:tc>
          <w:tcPr/>
          <w:p>
            <w:pPr>
              <w:pStyle w:val="Compact"/>
            </w:pPr>
            <w:r>
              <w:t xml:space="preserve">HTTPS ZIP download of Dispatch_SCADA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Elexon BMRS (UK)</w:t>
            </w:r>
          </w:p>
        </w:tc>
        <w:tc>
          <w:tcPr/>
          <w:p>
            <w:pPr>
              <w:pStyle w:val="Compact"/>
            </w:pPr>
            <w:r>
              <w:t xml:space="preserve">1 region</w:t>
            </w:r>
          </w:p>
        </w:tc>
        <w:tc>
          <w:tcPr/>
          <w:p>
            <w:pPr>
              <w:pStyle w:val="Compact"/>
            </w:pPr>
            <w:r>
              <w:t xml:space="preserve">REST API, JSON/XML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RTE eco2mix (France)</w:t>
            </w:r>
          </w:p>
        </w:tc>
        <w:tc>
          <w:tcPr/>
          <w:p>
            <w:pPr>
              <w:pStyle w:val="Compact"/>
            </w:pPr>
            <w:r>
              <w:t xml:space="preserve">1 region</w:t>
            </w:r>
          </w:p>
        </w:tc>
        <w:tc>
          <w:tcPr/>
          <w:p>
            <w:pPr>
              <w:pStyle w:val="Compact"/>
            </w:pPr>
            <w:r>
              <w:t xml:space="preserve">OpenDataSoft CSV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Energinet (Denmark)</w:t>
            </w:r>
          </w:p>
        </w:tc>
        <w:tc>
          <w:tcPr/>
          <w:p>
            <w:pPr>
              <w:pStyle w:val="Compact"/>
            </w:pPr>
            <w:r>
              <w:t xml:space="preserve">1 region</w:t>
            </w:r>
          </w:p>
        </w:tc>
        <w:tc>
          <w:tcPr/>
          <w:p>
            <w:pPr>
              <w:pStyle w:val="Compact"/>
            </w:pPr>
            <w:r>
              <w:t xml:space="preserve">Energi Data Service REST API,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Elia (Belgium)</w:t>
            </w:r>
          </w:p>
        </w:tc>
        <w:tc>
          <w:tcPr/>
          <w:p>
            <w:pPr>
              <w:pStyle w:val="Compact"/>
            </w:pPr>
            <w:r>
              <w:t xml:space="preserve">1 region</w:t>
            </w:r>
          </w:p>
        </w:tc>
        <w:tc>
          <w:tcPr/>
          <w:p>
            <w:pPr>
              <w:pStyle w:val="Compact"/>
            </w:pPr>
            <w:r>
              <w:t xml:space="preserve">OpenDataSoft CSV export (wind + solar datasets)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 Brazil</w:t>
            </w:r>
          </w:p>
        </w:tc>
        <w:tc>
          <w:tcPr/>
          <w:p>
            <w:pPr>
              <w:pStyle w:val="Compact"/>
            </w:pPr>
            <w:r>
              <w:t xml:space="preserve">11 state clusters + NE-other catch-all</w:t>
            </w:r>
          </w:p>
        </w:tc>
        <w:tc>
          <w:tcPr/>
          <w:p>
            <w:pPr>
              <w:pStyle w:val="Compact"/>
            </w:pPr>
            <w:r>
              <w:t xml:space="preserve">CSV over HTTPS, ANEEL</w:t>
            </w:r>
            <w:r>
              <w:t xml:space="preserve"> </w:t>
            </w:r>
            <w:r>
              <w:rPr>
                <w:rStyle w:val="VerbatimChar"/>
              </w:rPr>
              <w:t xml:space="preserve">id_estado</w:t>
            </w:r>
            <w:r>
              <w:t xml:space="preserve">-grouped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CAMMESA Argentina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HTML dashboard scrape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COES SINAC Peru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HTML dashboard scrape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EirGrid Ireland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HTML dashboard scrape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IESO Ontario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XML report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AESO Alberta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HTML CSD servlet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ESKOM data portal (South Africa)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HTML scrape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 New Zealand (Electricity Authority)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CSV download (Generation_MD dataset)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EPİAŞ Turkey (Şeffaflık)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REST API, JSON real-time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 Chile (Coordinador Eléctrico Nacional)</w:t>
            </w:r>
          </w:p>
        </w:tc>
        <w:tc>
          <w:tcPr/>
          <w:p>
            <w:pPr>
              <w:pStyle w:val="Compact"/>
            </w:pPr>
            <w:r>
              <w:t xml:space="preserve">2 (Atacama + southern wind)</w:t>
            </w:r>
          </w:p>
        </w:tc>
        <w:tc>
          <w:tcPr/>
          <w:p>
            <w:pPr>
              <w:pStyle w:val="Compact"/>
            </w:pPr>
            <w:r>
              <w:t xml:space="preserve">Headless-Chrome XLSX parse (Cloudflare-gated)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 utilities (10 TSO areas)</w:t>
            </w:r>
          </w:p>
        </w:tc>
        <w:tc>
          <w:tcPr/>
          <w:p>
            <w:pPr>
              <w:pStyle w:val="Compact"/>
            </w:pPr>
            <w:r>
              <w:t xml:space="preserve">10 regions (Kyushu, Tohoku, Chugoku, Shikoku, Hokkaido, Kansai, Chubu, TEPCO, Hokuriku, Okinawa)</w:t>
            </w:r>
          </w:p>
        </w:tc>
        <w:tc>
          <w:tcPr/>
          <w:p>
            <w:pPr>
              <w:pStyle w:val="Compact"/>
            </w:pPr>
            <w:r>
              <w:t xml:space="preserve">HTTPS CSV, HTTP/1.1-forced (</w:t>
            </w:r>
            <w:r>
              <w:rPr>
                <w:rStyle w:val="VerbatimChar"/>
              </w:rPr>
              <w:t xml:space="preserve">fetchHttp1Bytes</w:t>
            </w:r>
            <w:r>
              <w:t xml:space="preserve">, WAF bypass), Shift-JIS decode, 30-day trailing loop</w:t>
            </w:r>
          </w:p>
        </w:tc>
      </w:tr>
    </w:tbl>
    <w:p>
      <w:pPr>
        <w:pStyle w:val="BodyText"/>
      </w:pPr>
      <w:r>
        <w:t xml:space="preserve">Every loader is implemented in</w:t>
      </w:r>
      <w:r>
        <w:t xml:space="preserve"> </w:t>
      </w:r>
      <w:r>
        <w:rPr>
          <w:rStyle w:val="VerbatimChar"/>
        </w:rPr>
        <w:t xml:space="preserve">src/data/&lt;source&gt;.json.ts</w:t>
      </w:r>
      <w:r>
        <w:t xml:space="preserve"> </w:t>
      </w:r>
      <w:r>
        <w:t xml:space="preserve">as an</w:t>
      </w:r>
      <w:r>
        <w:t xml:space="preserve"> </w:t>
      </w:r>
      <w:r>
        <w:t xml:space="preserve">Observable Framework data loader. Every loader wraps its fetch in</w:t>
      </w:r>
      <w:r>
        <w:t xml:space="preserve"> </w:t>
      </w:r>
      <w:r>
        <w:rPr>
          <w:rStyle w:val="VerbatimChar"/>
        </w:rPr>
        <w:t xml:space="preserve">src/lib/resilient.ts::withFallback</w:t>
      </w:r>
      <w:r>
        <w:t xml:space="preserve">, which returns the last-good</w:t>
      </w:r>
      <w:r>
        <w:t xml:space="preserve"> </w:t>
      </w:r>
      <w:r>
        <w:t xml:space="preserve">snapshot from</w:t>
      </w:r>
      <w:r>
        <w:t xml:space="preserve"> </w:t>
      </w:r>
      <w:r>
        <w:rPr>
          <w:rStyle w:val="VerbatimChar"/>
        </w:rPr>
        <w:t xml:space="preserve">data/snapshots/last-good/</w:t>
      </w:r>
      <w:r>
        <w:t xml:space="preserve"> </w:t>
      </w:r>
      <w:r>
        <w:t xml:space="preserve">if the live call fails or</w:t>
      </w:r>
      <w:r>
        <w:t xml:space="preserve"> </w:t>
      </w:r>
      <w:r>
        <w:t xml:space="preserve">returns malformed data. This guarantees no region silently drops out</w:t>
      </w:r>
      <w:r>
        <w:t xml:space="preserve"> </w:t>
      </w:r>
      <w:r>
        <w:t xml:space="preserve">of the dataset on an upstream outage.</w:t>
      </w:r>
    </w:p>
    <w:p>
      <w:pPr>
        <w:pStyle w:val="BodyText"/>
      </w:pPr>
      <w:r>
        <w:rPr>
          <w:b/>
          <w:bCs/>
        </w:rPr>
        <w:t xml:space="preserve">Reachability probe vs measured curtailment.</w:t>
      </w:r>
      <w:r>
        <w:t xml:space="preserve"> </w:t>
      </w:r>
      <w:r>
        <w:t xml:space="preserve">Four of the live-fetch</w:t>
      </w:r>
      <w:r>
        <w:t xml:space="preserve"> </w:t>
      </w:r>
      <w:r>
        <w:t xml:space="preserve">entries above (CAMMESA Argentina, COES SINAC Peru, ESKOM data portal</w:t>
      </w:r>
      <w:r>
        <w:t xml:space="preserve"> </w:t>
      </w:r>
      <w:r>
        <w:t xml:space="preserve">South Africa, EirGrid renewables page Ireland) are reachability probes</w:t>
      </w:r>
      <w:r>
        <w:t xml:space="preserve"> </w:t>
      </w:r>
      <w:r>
        <w:t xml:space="preserve">rather than dispatch-level curtailment feeds: the loader fetches the</w:t>
      </w:r>
      <w:r>
        <w:t xml:space="preserve"> </w:t>
      </w:r>
      <w:r>
        <w:t xml:space="preserve">public endpoint, confirms the source is alive, and stamps the</w:t>
      </w:r>
      <w:r>
        <w:t xml:space="preserve"> </w:t>
      </w:r>
      <w:r>
        <w:t xml:space="preserve">freshness, but emits a calibrated typical-shape profile (wind /</w:t>
      </w:r>
      <w:r>
        <w:t xml:space="preserve"> </w:t>
      </w:r>
      <w:r>
        <w:t xml:space="preserve">hydro-seasonal / mixed solar+wind) scaled to a published annual</w:t>
      </w:r>
      <w:r>
        <w:t xml:space="preserve"> </w:t>
      </w:r>
      <w:r>
        <w:t xml:space="preserve">anchor — because none of the four operators expose a stable</w:t>
      </w:r>
      <w:r>
        <w:t xml:space="preserve"> </w:t>
      </w:r>
      <w:r>
        <w:t xml:space="preserve">unauthenticated machine-readable hourly curtailment series. The</w:t>
      </w:r>
      <w:r>
        <w:t xml:space="preserve"> </w:t>
      </w:r>
      <w:r>
        <w:rPr>
          <w:rStyle w:val="VerbatimChar"/>
        </w:rPr>
        <w:t xml:space="preserve">sourceNote</w:t>
      </w:r>
      <w:r>
        <w:t xml:space="preserve"> </w:t>
      </w:r>
      <w:r>
        <w:t xml:space="preserve">on each emitted record states the calibration</w:t>
      </w:r>
      <w:r>
        <w:t xml:space="preserve"> </w:t>
      </w:r>
      <w:r>
        <w:t xml:space="preserve">explicitly. All four (CAMMESA Argentina, COES SINAC Peru, ESKOM South</w:t>
      </w:r>
      <w:r>
        <w:t xml:space="preserve"> </w:t>
      </w:r>
      <w:r>
        <w:t xml:space="preserve">Africa, EirGrid Ireland — split 58/42 into</w:t>
      </w:r>
      <w:r>
        <w:t xml:space="preserve"> </w:t>
      </w:r>
      <w:r>
        <w:rPr>
          <w:rStyle w:val="VerbatimChar"/>
        </w:rPr>
        <w:t xml:space="preserve">ireland-republic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northern-ireland</w:t>
      </w:r>
      <w:r>
        <w:t xml:space="preserve"> </w:t>
      </w:r>
      <w:r>
        <w:t xml:space="preserve">at consumption time) are classified</w:t>
      </w:r>
      <w:r>
        <w:t xml:space="preserve"> </w:t>
      </w:r>
      <w:r>
        <w:rPr>
          <w:rStyle w:val="VerbatimChar"/>
        </w:rPr>
        <w:t xml:space="preserve">T3-modelled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tier: "static"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src/lib/regions.ts</w:t>
      </w:r>
      <w:r>
        <w:t xml:space="preserve">, with the ±40% T3</w:t>
      </w:r>
      <w:r>
        <w:t xml:space="preserve"> </w:t>
      </w:r>
      <w:r>
        <w:t xml:space="preserve">envelope. The reachability-probe nature of the upstream is preserved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sourceNote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sourceStatus</w:t>
      </w:r>
      <w:r>
        <w:t xml:space="preserve"> </w:t>
      </w:r>
      <w:r>
        <w:t xml:space="preserve">(</w:t>
      </w:r>
      <w:r>
        <w:t xml:space="preserve">“live”</w:t>
      </w:r>
      <w:r>
        <w:t xml:space="preserve"> </w:t>
      </w:r>
      <w:r>
        <w:t xml:space="preserve">= the probe succeeded,</w:t>
      </w:r>
      <w:r>
        <w:t xml:space="preserve"> </w:t>
      </w:r>
      <w:r>
        <w:t xml:space="preserve">not</w:t>
      </w:r>
      <w:r>
        <w:t xml:space="preserve"> </w:t>
      </w:r>
      <w:r>
        <w:t xml:space="preserve">“this is a measured dispatch series”</w:t>
      </w:r>
      <w:r>
        <w:t xml:space="preserve">); reviewers can audit the</w:t>
      </w:r>
      <w:r>
        <w:t xml:space="preserve"> </w:t>
      </w:r>
      <w:r>
        <w:t xml:space="preserve">distinction in</w:t>
      </w:r>
      <w:r>
        <w:t xml:space="preserve"> </w:t>
      </w:r>
      <w:r>
        <w:rPr>
          <w:rStyle w:val="VerbatimChar"/>
        </w:rPr>
        <w:t xml:space="preserve">docs/known-limitations.md</w:t>
      </w:r>
      <w:r>
        <w:t xml:space="preserve"> </w:t>
      </w:r>
      <w:r>
        <w:t xml:space="preserve">item 6. IESO Ontario, AESO</w:t>
      </w:r>
      <w:r>
        <w:t xml:space="preserve"> </w:t>
      </w:r>
      <w:r>
        <w:t xml:space="preserve">Alberta, EMI New Zealand, EPİAŞ Turkey, and CEN Chile do produce</w:t>
      </w:r>
      <w:r>
        <w:t xml:space="preserve"> </w:t>
      </w:r>
      <w:r>
        <w:t xml:space="preserve">dispatch-derived hourly values from their respective live sources.</w:t>
      </w:r>
    </w:p>
    <w:p>
      <w:pPr>
        <w:pStyle w:val="BodyText"/>
      </w:pPr>
      <w:r>
        <w:t xml:space="preserve">ERCOT-West and ERCOT-East are reconstructed from EIA’s BA-level feed</w:t>
      </w:r>
      <w:r>
        <w:t xml:space="preserve"> </w:t>
      </w:r>
      <w:r>
        <w:t xml:space="preserve">in the v0.5 build (66/34 proportional split keyed to ERCOT IMM</w:t>
      </w:r>
      <w:r>
        <w:t xml:space="preserve"> </w:t>
      </w:r>
      <w:r>
        <w:t xml:space="preserve">2024 wind-zone curtailment shares). A direct ERCOT B2C OAuth2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src/data/ercot-native.json.ts</w:t>
      </w:r>
      <w:r>
        <w:t xml:space="preserve">) is wired in as a fallback for</w:t>
      </w:r>
      <w:r>
        <w:t xml:space="preserve"> </w:t>
      </w:r>
      <w:r>
        <w:t xml:space="preserve">deployments where the EIA proxy is unavailable; both routes resolve</w:t>
      </w:r>
      <w:r>
        <w:t xml:space="preserve"> </w:t>
      </w:r>
      <w:r>
        <w:t xml:space="preserve">to the same two region IDs.</w:t>
      </w:r>
    </w:p>
    <w:p>
      <w:pPr>
        <w:pStyle w:val="BodyText"/>
      </w:pPr>
      <w:r>
        <w:t xml:space="preserve">Upstream authentication requirements are documented in the</w:t>
      </w:r>
      <w:r>
        <w:t xml:space="preserve"> </w:t>
      </w:r>
      <w:r>
        <w:t xml:space="preserve">repository root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</w:t>
      </w:r>
      <w:r>
        <w:rPr>
          <w:rStyle w:val="VerbatimChar"/>
        </w:rPr>
        <w:t xml:space="preserve">ENTSOE_TOKEN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EIA_API_KEY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ELEXON_API_KEY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ERCOT_*</w:t>
      </w:r>
      <w:r>
        <w:t xml:space="preserve"> </w:t>
      </w:r>
      <w:r>
        <w:t xml:space="preserve">native bundle). All four are</w:t>
      </w:r>
      <w:r>
        <w:t xml:space="preserve"> </w:t>
      </w:r>
      <w:r>
        <w:t xml:space="preserve">available free of charge with registration; no paid tier is used.</w:t>
      </w:r>
      <w:r>
        <w:t xml:space="preserve"> </w:t>
      </w:r>
      <w:r>
        <w:rPr>
          <w:b/>
          <w:bCs/>
        </w:rPr>
        <w:t xml:space="preserve">The published dataset requires no authentication to access</w:t>
      </w:r>
      <w:r>
        <w:t xml:space="preserve"> </w:t>
      </w:r>
      <w:r>
        <w:t xml:space="preserve">—</w:t>
      </w:r>
      <w:r>
        <w:t xml:space="preserve"> </w:t>
      </w:r>
      <w:r>
        <w:t xml:space="preserve">live-feed auth applies only to the build pipeline.</w:t>
      </w:r>
    </w:p>
    <w:bookmarkEnd w:id="18"/>
    <w:bookmarkStart w:id="19" w:name="calibration-methodology"/>
    <w:p>
      <w:pPr>
        <w:pStyle w:val="Heading2"/>
      </w:pPr>
      <w:r>
        <w:t xml:space="preserve">2.3 Calibration methodology</w:t>
      </w:r>
    </w:p>
    <w:p>
      <w:pPr>
        <w:pStyle w:val="FirstParagraph"/>
      </w:pPr>
      <w:r>
        <w:t xml:space="preserve">Curtailment is not always published as a directly-measured</w:t>
      </w:r>
      <w:r>
        <w:t xml:space="preserve"> </w:t>
      </w:r>
      <w:r>
        <w:t xml:space="preserve">quantity. Where the upstream feed publishes a curtailment series</w:t>
      </w:r>
      <w:r>
        <w:t xml:space="preserve"> </w:t>
      </w:r>
      <w:r>
        <w:t xml:space="preserve">directly (AEMO SEMIDISPATCHCAP, ONS Brazil</w:t>
      </w:r>
      <w:r>
        <w:t xml:space="preserve"> </w:t>
      </w:r>
      <w:r>
        <w:rPr>
          <w:rStyle w:val="VerbatimChar"/>
        </w:rPr>
        <w:t xml:space="preserve">restricao_coff</w:t>
      </w:r>
      <w:r>
        <w:t xml:space="preserve">,</w:t>
      </w:r>
      <w:r>
        <w:t xml:space="preserve"> </w:t>
      </w:r>
      <w:r>
        <w:t xml:space="preserve">EirGrid SNSP), we use that series as the observation. Where the</w:t>
      </w:r>
      <w:r>
        <w:t xml:space="preserve"> </w:t>
      </w:r>
      <w:r>
        <w:t xml:space="preserve">feed publishes generation only, we</w:t>
      </w:r>
      <w:r>
        <w:t xml:space="preserve"> </w:t>
      </w:r>
      <w:r>
        <w:rPr>
          <w:b/>
          <w:bCs/>
        </w:rPr>
        <w:t xml:space="preserve">reconstruct curtailment</w:t>
      </w:r>
      <w:r>
        <w:t xml:space="preserve"> </w:t>
      </w:r>
      <w:r>
        <w:t xml:space="preserve">by</w:t>
      </w:r>
      <w:r>
        <w:t xml:space="preserve"> </w:t>
      </w:r>
      <w:r>
        <w:t xml:space="preserve">applying a calibrated rate to the observed generation:</w:t>
      </w:r>
    </w:p>
    <w:p>
      <w:pPr>
        <w:pStyle w:val="SourceCode"/>
      </w:pPr>
      <w:r>
        <w:rPr>
          <w:rStyle w:val="VerbatimChar"/>
        </w:rPr>
        <w:t xml:space="preserve">curtailment_GW[hour] = generation_GW[hour] × calibration_rate</w:t>
      </w:r>
    </w:p>
    <w:p>
      <w:pPr>
        <w:pStyle w:val="FirstParagraph"/>
      </w:pPr>
      <w:r>
        <w:t xml:space="preserve">The calibration rate is chosen so that summing the reconstructed</w:t>
      </w:r>
      <w:r>
        <w:t xml:space="preserve"> </w:t>
      </w:r>
      <w:r>
        <w:t xml:space="preserve">hourly curtailment across a full year reproduces a published annual</w:t>
      </w:r>
      <w:r>
        <w:t xml:space="preserve"> </w:t>
      </w:r>
      <w:r>
        <w:t xml:space="preserve">curtailment total from the operator or regulator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scripts/validation/external-anchors.json</w:t>
      </w:r>
      <w:r>
        <w:t xml:space="preserve"> </w:t>
      </w:r>
      <w:r>
        <w:t xml:space="preserve">carries 123 per-region</w:t>
      </w:r>
      <w:r>
        <w:t xml:space="preserve"> </w:t>
      </w:r>
      <w:r>
        <w:t xml:space="preserve">anchor records; the strict subset of 23 region-year pairs that have</w:t>
      </w:r>
      <w:r>
        <w:t xml:space="preserve"> </w:t>
      </w:r>
      <w:r>
        <w:t xml:space="preserve">both a multi-year backfill and an exact-year TSO total feeds Figure</w:t>
      </w:r>
      <w:r>
        <w:t xml:space="preserve"> </w:t>
      </w:r>
      <w:r>
        <w:t xml:space="preserve">2’s validation scatter). Rate origin, citation, and placeholder</w:t>
      </w:r>
      <w:r>
        <w:t xml:space="preserve"> </w:t>
      </w:r>
      <w:r>
        <w:t xml:space="preserve">status are documented per zone in</w:t>
      </w:r>
      <w:r>
        <w:t xml:space="preserve"> </w:t>
      </w:r>
      <w:r>
        <w:rPr>
          <w:rStyle w:val="VerbatimChar"/>
        </w:rPr>
        <w:t xml:space="preserve">docs/methodology/entsoe-rates.md</w:t>
      </w:r>
      <w:r>
        <w:t xml:space="preserve"> </w:t>
      </w:r>
      <w:r>
        <w:t xml:space="preserve">(ENTSO-E) and the per-region validation MDs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docs/validation/&lt;region&gt;.md</w:t>
      </w:r>
      <w:r>
        <w:t xml:space="preserve">).</w:t>
      </w:r>
    </w:p>
    <w:p>
      <w:pPr>
        <w:pStyle w:val="BodyText"/>
      </w:pPr>
      <w:r>
        <w:t xml:space="preserve">Rate application is</w:t>
      </w:r>
      <w:r>
        <w:t xml:space="preserve"> </w:t>
      </w:r>
      <w:r>
        <w:rPr>
          <w:b/>
          <w:bCs/>
        </w:rPr>
        <w:t xml:space="preserve">piecewise-constant across years</w:t>
      </w:r>
      <w:r>
        <w:t xml:space="preserve"> </w:t>
      </w:r>
      <w:r>
        <w:t xml:space="preserve">(one rate</w:t>
      </w:r>
      <w:r>
        <w:t xml:space="preserve"> </w:t>
      </w:r>
      <w:r>
        <w:t xml:space="preserve">per region-year) to permit post-2020 rate evolution to be captured</w:t>
      </w:r>
      <w:r>
        <w:t xml:space="preserve"> </w:t>
      </w:r>
      <w:r>
        <w:t xml:space="preserve">where multi-year anchors are available. Where only a single</w:t>
      </w:r>
      <w:r>
        <w:t xml:space="preserve"> </w:t>
      </w:r>
      <w:r>
        <w:t xml:space="preserve">anchor is available, the rate is held constant backward in time</w:t>
      </w:r>
      <w:r>
        <w:t xml:space="preserve"> </w:t>
      </w:r>
      <w:r>
        <w:t xml:space="preserve">(acknowledged limitation; see §4 Technical Validation).</w:t>
      </w:r>
    </w:p>
    <w:bookmarkEnd w:id="19"/>
    <w:bookmarkStart w:id="20" w:name="historical-backfill"/>
    <w:p>
      <w:pPr>
        <w:pStyle w:val="Heading2"/>
      </w:pPr>
      <w:r>
        <w:t xml:space="preserve">2.4 Historical backfill</w:t>
      </w:r>
    </w:p>
    <w:p>
      <w:pPr>
        <w:pStyle w:val="FirstParagraph"/>
      </w:pPr>
      <w:r>
        <w:rPr>
          <w:rStyle w:val="VerbatimChar"/>
        </w:rPr>
        <w:t xml:space="preserve">data/historical/curtailment_backfill.parquet</w:t>
      </w:r>
      <w:r>
        <w:t xml:space="preserve"> </w:t>
      </w:r>
      <w:r>
        <w:t xml:space="preserve">is a seven-year</w:t>
      </w:r>
      <w:r>
        <w:t xml:space="preserve"> </w:t>
      </w:r>
      <w:r>
        <w:t xml:space="preserve">hourly reconstruction (2020-01-01 → 2026-04-24) across 29 regions</w:t>
      </w:r>
      <w:r>
        <w:t xml:space="preserve"> </w:t>
      </w:r>
      <w:r>
        <w:t xml:space="preserve">whose upstream archives support multi-year history. Total: 2,590,195</w:t>
      </w:r>
      <w:r>
        <w:t xml:space="preserve"> </w:t>
      </w:r>
      <w:r>
        <w:t xml:space="preserve">hourly observations.</w:t>
      </w:r>
    </w:p>
    <w:p>
      <w:pPr>
        <w:pStyle w:val="BodyText"/>
      </w:pPr>
      <w:r>
        <w:t xml:space="preserve">The backfill loader chain mirrors the live-feed chain but calls the</w:t>
      </w:r>
      <w:r>
        <w:t xml:space="preserve"> </w:t>
      </w:r>
      <w:r>
        <w:t xml:space="preserve">archival variant of each upstream API. v0.5 backfills two of the</w:t>
      </w:r>
      <w:r>
        <w:t xml:space="preserve"> </w:t>
      </w:r>
      <w:r>
        <w:t xml:space="preserve">live-loader families: ENTSO-E 10-year history (16 bidding zones plus</w:t>
      </w:r>
      <w:r>
        <w:t xml:space="preserve"> </w:t>
      </w:r>
      <w:r>
        <w:t xml:space="preserve">4 Norway zones via the Nord Pool / ENTSO-E NO domains) and the EIA</w:t>
      </w:r>
      <w:r>
        <w:t xml:space="preserve"> </w:t>
      </w:r>
      <w:r>
        <w:t xml:space="preserve">Hourly Electric Grid Monitor history (9 U.S. ISOs including the</w:t>
      </w:r>
      <w:r>
        <w:t xml:space="preserve"> </w:t>
      </w:r>
      <w:r>
        <w:t xml:space="preserve">ERCOT-W/E split). The remaining live-loader families (AEMO NEMWeb,</w:t>
      </w:r>
      <w:r>
        <w:t xml:space="preserve"> </w:t>
      </w:r>
      <w:r>
        <w:t xml:space="preserve">Elexon BMRS, ONS Brazil, Argentina/Ontario/Alberta/Ireland/South</w:t>
      </w:r>
      <w:r>
        <w:t xml:space="preserve"> </w:t>
      </w:r>
      <w:r>
        <w:t xml:space="preserve">Africa/Peru) carry only the rolling live-snapshot history at v0.5;</w:t>
      </w:r>
      <w:r>
        <w:t xml:space="preserve"> </w:t>
      </w:r>
      <w:r>
        <w:t xml:space="preserve">multi-year archival reconstruction for those is on the v1 roadmap.</w:t>
      </w:r>
      <w:r>
        <w:t xml:space="preserve"> </w:t>
      </w:r>
      <w:r>
        <w:t xml:space="preserve">Rate application is identical to the live loader:</w:t>
      </w:r>
      <w:r>
        <w:t xml:space="preserve"> </w:t>
      </w:r>
      <w:r>
        <w:rPr>
          <w:rStyle w:val="VerbatimChar"/>
        </w:rPr>
        <w:t xml:space="preserve">curtailment_GW = generation_GW × rate</w:t>
      </w:r>
      <w:r>
        <w:t xml:space="preserve">, with the per-year calibration</w:t>
      </w:r>
      <w:r>
        <w:t xml:space="preserve"> </w:t>
      </w:r>
      <w:r>
        <w:t xml:space="preserve">rate documented in</w:t>
      </w:r>
      <w:r>
        <w:t xml:space="preserve"> </w:t>
      </w:r>
      <w:r>
        <w:rPr>
          <w:rStyle w:val="VerbatimChar"/>
        </w:rPr>
        <w:t xml:space="preserve">docs/methodology/historical-backfill.md</w:t>
      </w:r>
      <w:r>
        <w:t xml:space="preserve">.</w:t>
      </w:r>
    </w:p>
    <w:p>
      <w:pPr>
        <w:pStyle w:val="BodyText"/>
      </w:pPr>
      <w:r>
        <w:t xml:space="preserve">The backfill rate</w:t>
      </w:r>
      <w:r>
        <w:t xml:space="preserve"> </w:t>
      </w:r>
      <w:r>
        <w:rPr>
          <w:b/>
          <w:bCs/>
        </w:rPr>
        <w:t xml:space="preserve">is not changed from the live rate</w:t>
      </w:r>
      <w:r>
        <w:t xml:space="preserve"> </w:t>
      </w:r>
      <w:r>
        <w:t xml:space="preserve">in v0.5. The</w:t>
      </w:r>
      <w:r>
        <w:t xml:space="preserve"> </w:t>
      </w:r>
      <w:r>
        <w:t xml:space="preserve">backfill is therefore a projection of the current calibration</w:t>
      </w:r>
      <w:r>
        <w:t xml:space="preserve"> </w:t>
      </w:r>
      <w:r>
        <w:t xml:space="preserve">backward in time, not an independent reconstruction. Section 4</w:t>
      </w:r>
      <w:r>
        <w:t xml:space="preserve"> </w:t>
      </w:r>
      <w:r>
        <w:t xml:space="preserve">(Technical Validation) addresses where this projection drifts from</w:t>
      </w:r>
      <w:r>
        <w:t xml:space="preserve"> </w:t>
      </w:r>
      <w:r>
        <w:t xml:space="preserve">published TSO annual curtailment and what the v1 recalibration</w:t>
      </w:r>
      <w:r>
        <w:t xml:space="preserve"> </w:t>
      </w:r>
      <w:r>
        <w:t xml:space="preserve">roadmap is.</w:t>
      </w:r>
    </w:p>
    <w:bookmarkEnd w:id="20"/>
    <w:bookmarkStart w:id="21" w:name="confidence-tiers"/>
    <w:p>
      <w:pPr>
        <w:pStyle w:val="Heading2"/>
      </w:pPr>
      <w:r>
        <w:t xml:space="preserve">2.5 Confidence tiers</w:t>
      </w:r>
    </w:p>
    <w:p>
      <w:pPr>
        <w:pStyle w:val="FirstParagraph"/>
      </w:pPr>
      <w:r>
        <w:t xml:space="preserve">Every region is deterministically assigned to one of six tier</w:t>
      </w:r>
      <w:r>
        <w:t xml:space="preserve"> </w:t>
      </w:r>
      <w:r>
        <w:t xml:space="preserve">buckets (implemented in</w:t>
      </w:r>
      <w:r>
        <w:t xml:space="preserve"> </w:t>
      </w:r>
      <w:r>
        <w:rPr>
          <w:rStyle w:val="VerbatimChar"/>
        </w:rPr>
        <w:t xml:space="preserve">src/lib/uncertainty.ts::deriveTier</w:t>
      </w:r>
      <w:r>
        <w:t xml:space="preserve">).</w:t>
      </w:r>
      <w:r>
        <w:t xml:space="preserve"> </w:t>
      </w:r>
      <w:r>
        <w:t xml:space="preserve">Documented-gap regions (Mexico CENACE, etc.) are listed in</w:t>
      </w:r>
      <w:r>
        <w:t xml:space="preserve"> </w:t>
      </w:r>
      <w:r>
        <w:rPr>
          <w:rStyle w:val="VerbatimChar"/>
        </w:rPr>
        <w:t xml:space="preserve">docs/known-limitations.md</w:t>
      </w:r>
      <w:r>
        <w:t xml:space="preserve"> </w:t>
      </w:r>
      <w:r>
        <w:t xml:space="preserve">and do not appear in this table —</w:t>
      </w:r>
      <w:r>
        <w:t xml:space="preserve"> </w:t>
      </w:r>
      <w:r>
        <w:t xml:space="preserve">they are out-of-scope for tier assignment by definition (a tier</w:t>
      </w:r>
      <w:r>
        <w:t xml:space="preserve"> </w:t>
      </w:r>
      <w:r>
        <w:t xml:space="preserve">describes how confidently we know an</w:t>
      </w:r>
      <w:r>
        <w:t xml:space="preserve"> </w:t>
      </w:r>
      <w:r>
        <w:rPr>
          <w:i/>
          <w:iCs/>
        </w:rPr>
        <w:t xml:space="preserve">emitted</w:t>
      </w:r>
      <w:r>
        <w:t xml:space="preserve"> </w:t>
      </w:r>
      <w:r>
        <w:t xml:space="preserve">value; gap</w:t>
      </w:r>
      <w:r>
        <w:t xml:space="preserve"> </w:t>
      </w:r>
      <w:r>
        <w:t xml:space="preserve">regions emit nothing).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Uncertainty envelope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T1a-live-tso</w:t>
            </w:r>
          </w:p>
        </w:tc>
        <w:tc>
          <w:tcPr/>
          <w:p>
            <w:pPr>
              <w:pStyle w:val="Compact"/>
            </w:pPr>
            <w:r>
              <w:t xml:space="preserve">Live hourly feed + own-jurisdiction calibration rate (TSO/regulator)</w:t>
            </w:r>
          </w:p>
        </w:tc>
        <w:tc>
          <w:tcPr/>
          <w:p>
            <w:pPr>
              <w:pStyle w:val="Compact"/>
            </w:pPr>
            <w:r>
              <w:t xml:space="preserve">±15% of peakGW (fallback) or 2σ of backfill annual peakGW (when backfill ≥ 3 yrs)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T1b-live-domestic-anchored</w:t>
            </w:r>
          </w:p>
        </w:tc>
        <w:tc>
          <w:tcPr/>
          <w:p>
            <w:pPr>
              <w:pStyle w:val="Compact"/>
            </w:pPr>
            <w:r>
              <w:t xml:space="preserve">Live feed + domestic-stat-agency or modelled-share rate</w:t>
            </w:r>
          </w:p>
        </w:tc>
        <w:tc>
          <w:tcPr/>
          <w:p>
            <w:pPr>
              <w:pStyle w:val="Compact"/>
            </w:pPr>
            <w:r>
              <w:t xml:space="preserve">±50% of peakGW (empirical)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T1c-live-neighbour-anchored</w:t>
            </w:r>
          </w:p>
        </w:tc>
        <w:tc>
          <w:tcPr/>
          <w:p>
            <w:pPr>
              <w:pStyle w:val="Compact"/>
            </w:pPr>
            <w:r>
              <w:t xml:space="preserve">Live feed + rate extrapolated from neighbouring zone</w:t>
            </w:r>
          </w:p>
        </w:tc>
        <w:tc>
          <w:tcPr/>
          <w:p>
            <w:pPr>
              <w:pStyle w:val="Compact"/>
            </w:pPr>
            <w:r>
              <w:t xml:space="preserve">±35.5% of peakGW (empirical)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T2-annual-calibrated</w:t>
            </w:r>
          </w:p>
        </w:tc>
        <w:tc>
          <w:tcPr/>
          <w:p>
            <w:pPr>
              <w:pStyle w:val="Compact"/>
            </w:pPr>
            <w:r>
              <w:t xml:space="preserve">Published annual anchor, no hourly feed (incl. flat-base proxies)</w:t>
            </w:r>
          </w:p>
        </w:tc>
        <w:tc>
          <w:tcPr/>
          <w:p>
            <w:pPr>
              <w:pStyle w:val="Compact"/>
            </w:pPr>
            <w:r>
              <w:t xml:space="preserve">±20% of peakGW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flare</w:t>
            </w:r>
          </w:p>
        </w:tc>
        <w:tc>
          <w:tcPr/>
          <w:p>
            <w:pPr>
              <w:pStyle w:val="Compact"/>
            </w:pPr>
            <w:r>
              <w:t xml:space="preserve">Flare region, flat 24/7 base-load</w:t>
            </w:r>
          </w:p>
        </w:tc>
        <w:tc>
          <w:tcPr/>
          <w:p>
            <w:pPr>
              <w:pStyle w:val="Compact"/>
            </w:pPr>
            <w:r>
              <w:t xml:space="preserve">±20% (presentational split from T2; same envelope)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T3-modelled</w:t>
            </w:r>
          </w:p>
        </w:tc>
        <w:tc>
          <w:tcPr/>
          <w:p>
            <w:pPr>
              <w:pStyle w:val="Compact"/>
            </w:pPr>
            <w:r>
              <w:t xml:space="preserve">Static annual + typical diurnal/seasonal shape</w:t>
            </w:r>
          </w:p>
        </w:tc>
        <w:tc>
          <w:tcPr/>
          <w:p>
            <w:pPr>
              <w:pStyle w:val="Compact"/>
            </w:pPr>
            <w:r>
              <w:t xml:space="preserve">±40% of peakGW</w:t>
            </w:r>
          </w:p>
        </w:tc>
      </w:tr>
    </w:tbl>
    <w:p>
      <w:pPr>
        <w:pStyle w:val="BodyText"/>
      </w:pPr>
      <w:r>
        <w:t xml:space="preserve">The tier distribution at submission:</w:t>
      </w:r>
      <w:r>
        <w:t xml:space="preserve"> </w:t>
      </w:r>
      <w:r>
        <w:rPr>
          <w:b/>
          <w:bCs/>
        </w:rPr>
        <w:t xml:space="preserve">106 T1a, 6 T1b, 1 T1c, 2</w:t>
      </w:r>
      <w:r>
        <w:rPr>
          <w:b/>
          <w:bCs/>
        </w:rPr>
        <w:t xml:space="preserve"> </w:t>
      </w:r>
      <w:r>
        <w:rPr>
          <w:b/>
          <w:bCs/>
        </w:rPr>
        <w:t xml:space="preserve">T2-annual-calibrated, 8 T2-flare, 118 T3</w:t>
      </w:r>
      <w:r>
        <w:t xml:space="preserve"> </w:t>
      </w:r>
      <w:r>
        <w:t xml:space="preserve">(total 241). The six</w:t>
      </w:r>
      <w:r>
        <w:t xml:space="preserve"> </w:t>
      </w:r>
      <w:r>
        <w:t xml:space="preserve">T1b zones are Italy-Sardinia, Italy-North-Zone, Italy-Sicily,</w:t>
      </w:r>
      <w:r>
        <w:t xml:space="preserve"> </w:t>
      </w:r>
      <w:r>
        <w:t xml:space="preserve">the Netherlands, the Baltics, and Colombia (XM API) — each</w:t>
      </w:r>
      <w:r>
        <w:t xml:space="preserve"> </w:t>
      </w:r>
      <w:r>
        <w:t xml:space="preserve">pairing a live feed against either a national-anchor zone-share,</w:t>
      </w:r>
      <w:r>
        <w:t xml:space="preserve"> </w:t>
      </w:r>
      <w:r>
        <w:t xml:space="preserve">a modelled-share rate, or a domestic stat-agency anchor. The</w:t>
      </w:r>
      <w:r>
        <w:t xml:space="preserve"> </w:t>
      </w:r>
      <w:r>
        <w:t xml:space="preserve">single T1c zone is Switzerland (Swissgrid live feed with the</w:t>
      </w:r>
      <w:r>
        <w:t xml:space="preserve"> </w:t>
      </w:r>
      <w:r>
        <w:t xml:space="preserve">Czech CEPS rate as a neighbouring proxy). The two T2</w:t>
      </w:r>
      <w:r>
        <w:t xml:space="preserve"> </w:t>
      </w:r>
      <w:r>
        <w:t xml:space="preserve">regions are Austria (APG provisional anchor, flat-base proxy)</w:t>
      </w:r>
      <w:r>
        <w:t xml:space="preserve"> </w:t>
      </w:r>
      <w:r>
        <w:t xml:space="preserve">and Russia Murmansk wind (SO UPS dispatch-limit estimate, flat).</w:t>
      </w:r>
      <w:r>
        <w:t xml:space="preserve"> </w:t>
      </w:r>
      <w:r>
        <w:t xml:space="preserve">The four T2-flare regions are the Permian, West Siberia, South</w:t>
      </w:r>
      <w:r>
        <w:t xml:space="preserve"> </w:t>
      </w:r>
      <w:r>
        <w:t xml:space="preserve">Iraq, and East Saudi flare basins. The 117 T3 regions are static</w:t>
      </w:r>
      <w:r>
        <w:t xml:space="preserve"> </w:t>
      </w:r>
      <w:r>
        <w:t xml:space="preserve">annual anchors (Ember, IRENA, regulator reports) combined with a</w:t>
      </w:r>
      <w:r>
        <w:t xml:space="preserve"> </w:t>
      </w:r>
      <w:r>
        <w:t xml:space="preserve">typical diurnal or monthly-seasonal shape (solar cosine, wind</w:t>
      </w:r>
      <w:r>
        <w:t xml:space="preserve"> </w:t>
      </w:r>
      <w:r>
        <w:t xml:space="preserve">broad-overnight, hydro monthly, mixed fuel-share,</w:t>
      </w:r>
      <w:r>
        <w:t xml:space="preserve"> </w:t>
      </w:r>
      <w:r>
        <w:t xml:space="preserve">geothermal-overnight). Full methodology and per-region rationale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docs/methodology/uncertainty.md</w:t>
      </w:r>
      <w:r>
        <w:t xml:space="preserve">; live counts emitted by</w:t>
      </w:r>
      <w:r>
        <w:t xml:space="preserve"> </w:t>
      </w:r>
      <w:r>
        <w:rPr>
          <w:rStyle w:val="VerbatimChar"/>
        </w:rPr>
        <w:t xml:space="preserve">scripts/tally-tiers.ts</w:t>
      </w:r>
      <w:r>
        <w:t xml:space="preserve"> </w:t>
      </w:r>
      <w:r>
        <w:t xml:space="preserve">so any classification drift is auditable.</w:t>
      </w:r>
    </w:p>
    <w:bookmarkEnd w:id="21"/>
    <w:bookmarkStart w:id="22" w:name="Xb90dd64cff98f9684109ebfdbce828809e79932"/>
    <w:p>
      <w:pPr>
        <w:pStyle w:val="Heading2"/>
      </w:pPr>
      <w:r>
        <w:t xml:space="preserve">2.6 Handling of regime changes and discrepancies</w:t>
      </w:r>
    </w:p>
    <w:p>
      <w:pPr>
        <w:pStyle w:val="FirstParagraph"/>
      </w:pPr>
      <w:r>
        <w:t xml:space="preserve">Where an upstream accounting regime changed materially during the</w:t>
      </w:r>
      <w:r>
        <w:t xml:space="preserve"> </w:t>
      </w:r>
      <w:r>
        <w:t xml:space="preserve">backfill window (e.g., Germany’s transition from EEG</w:t>
      </w:r>
      <w:r>
        <w:t xml:space="preserve"> </w:t>
      </w:r>
      <w:r>
        <w:t xml:space="preserve">Einspeisemanagement to Redispatch 2.0 in October 2021), the dataset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back-fit a split rate. Both periods are reconstructed</w:t>
      </w:r>
      <w:r>
        <w:t xml:space="preserve"> </w:t>
      </w:r>
      <w:r>
        <w:t xml:space="preserve">at the v0.5 single rate. The divergence vs. the newer regime is</w:t>
      </w:r>
      <w:r>
        <w:t xml:space="preserve"> </w:t>
      </w:r>
      <w:r>
        <w:t xml:space="preserve">documented as a material discrepancy in</w:t>
      </w:r>
      <w:r>
        <w:t xml:space="preserve"> </w:t>
      </w:r>
      <w:r>
        <w:rPr>
          <w:rStyle w:val="VerbatimChar"/>
        </w:rPr>
        <w:t xml:space="preserve">docs/methodology/validation-discrepancies.md</w:t>
      </w:r>
      <w:r>
        <w:t xml:space="preserve"> </w:t>
      </w:r>
      <w:r>
        <w:t xml:space="preserve">and flagged as a v1</w:t>
      </w:r>
      <w:r>
        <w:t xml:space="preserve"> </w:t>
      </w:r>
      <w:r>
        <w:t xml:space="preserve">recalibration candidate. This preserves reproducibility of the</w:t>
      </w:r>
      <w:r>
        <w:t xml:space="preserve"> </w:t>
      </w:r>
      <w:r>
        <w:t xml:space="preserve">current archive.</w:t>
      </w:r>
    </w:p>
    <w:bookmarkEnd w:id="22"/>
    <w:bookmarkStart w:id="23" w:name="coverage-limits"/>
    <w:p>
      <w:pPr>
        <w:pStyle w:val="Heading2"/>
      </w:pPr>
      <w:r>
        <w:t xml:space="preserve">2.7 Coverage limits</w:t>
      </w:r>
    </w:p>
    <w:p>
      <w:pPr>
        <w:pStyle w:val="FirstParagraph"/>
      </w:pPr>
      <w:r>
        <w:t xml:space="preserve">The dataset explicitly does not publish hourly figures for</w:t>
      </w:r>
      <w:r>
        <w:t xml:space="preserve"> </w:t>
      </w:r>
      <w:r>
        <w:t xml:space="preserve">jurisdictions with no public hourly source. These are enumerated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docs/known-limitations.md</w:t>
      </w:r>
      <w:r>
        <w:t xml:space="preserve"> </w:t>
      </w:r>
      <w:r>
        <w:t xml:space="preserve">and include: Mexico CENACE,</w:t>
      </w:r>
      <w:r>
        <w:t xml:space="preserve"> </w:t>
      </w:r>
      <w:r>
        <w:t xml:space="preserve">most Middle East outside flare basins, much of sub-Saharan</w:t>
      </w:r>
      <w:r>
        <w:t xml:space="preserve"> </w:t>
      </w:r>
      <w:r>
        <w:t xml:space="preserve">Africa, and Chinese provinces without a public hourly API.</w:t>
      </w:r>
      <w:r>
        <w:t xml:space="preserve"> </w:t>
      </w:r>
      <w:r>
        <w:t xml:space="preserve">These are documented gaps (taxonomy axis:</w:t>
      </w:r>
      <w:r>
        <w:t xml:space="preserve"> </w:t>
      </w:r>
      <w:r>
        <w:rPr>
          <w:rStyle w:val="VerbatimChar"/>
        </w:rPr>
        <w:t xml:space="preserve">coverage_status = "documented-gap"</w:t>
      </w:r>
      <w:r>
        <w:t xml:space="preserve">); no synthetic series is published for them.</w:t>
      </w:r>
      <w:r>
        <w:t xml:space="preserve"> </w:t>
      </w:r>
      <w:r>
        <w:t xml:space="preserve">Annual estimates for documented-gap jurisdictions appear in</w:t>
      </w:r>
      <w:r>
        <w:t xml:space="preserve"> </w:t>
      </w:r>
      <w:r>
        <w:t xml:space="preserve">methodology prose only, never as published hourly data.</w:t>
      </w:r>
    </w:p>
    <w:bookmarkEnd w:id="23"/>
    <w:bookmarkStart w:id="24" w:name="agentic-workflow-disclosure"/>
    <w:p>
      <w:pPr>
        <w:pStyle w:val="Heading2"/>
      </w:pPr>
      <w:r>
        <w:t xml:space="preserve">2.8 Agentic workflow disclosure</w:t>
      </w:r>
    </w:p>
    <w:p>
      <w:pPr>
        <w:pStyle w:val="FirstParagraph"/>
      </w:pPr>
      <w:r>
        <w:t xml:space="preserve">Per submission plan §Work division, the dataset’s construction</w:t>
      </w:r>
      <w:r>
        <w:t xml:space="preserve"> </w:t>
      </w:r>
      <w:r>
        <w:t xml:space="preserve">used a hybrid human-AI workflow. Codex and Claude Sonnet agents</w:t>
      </w:r>
      <w:r>
        <w:t xml:space="preserve"> </w:t>
      </w:r>
      <w:r>
        <w:t xml:space="preserve">were used for: per-region validation research against IRENA /</w:t>
      </w:r>
      <w:r>
        <w:t xml:space="preserve"> </w:t>
      </w:r>
      <w:r>
        <w:t xml:space="preserve">Ember / TSO annuals, uncertainty-band derivation, loader</w:t>
      </w:r>
      <w:r>
        <w:t xml:space="preserve"> </w:t>
      </w:r>
      <w:r>
        <w:t xml:space="preserve">scaffolding, figure code, and initial prose drafts. Simon Collins</w:t>
      </w:r>
      <w:r>
        <w:t xml:space="preserve"> </w:t>
      </w:r>
      <w:r>
        <w:t xml:space="preserve">authored the methodological decisions (tier model, rate-selection</w:t>
      </w:r>
      <w:r>
        <w:t xml:space="preserve"> </w:t>
      </w:r>
      <w:r>
        <w:t xml:space="preserve">criteria, discrepancy-handling policy), conducted the source</w:t>
      </w:r>
      <w:r>
        <w:t xml:space="preserve"> </w:t>
      </w:r>
      <w:r>
        <w:t xml:space="preserve">audits, and performed the final editorial pass on every</w:t>
      </w:r>
      <w:r>
        <w:t xml:space="preserve"> </w:t>
      </w:r>
      <w:r>
        <w:t xml:space="preserve">methodology document and data descriptor section. Agentic work is</w:t>
      </w:r>
      <w:r>
        <w:t xml:space="preserve"> </w:t>
      </w:r>
      <w:r>
        <w:t xml:space="preserve">disclosed here as a methodological novelty, not as co-authorship</w:t>
      </w:r>
      <w:r>
        <w:t xml:space="preserve"> </w:t>
      </w:r>
      <w:r>
        <w:t xml:space="preserve">(authorship remains solo: Collins).</w:t>
      </w:r>
    </w:p>
    <w:p>
      <w:pPr>
        <w:pStyle w:val="BodyText"/>
      </w:pPr>
      <w:r>
        <w:t xml:space="preserve">The agent prompts, orchestration plans, and enrichment scripts</w:t>
      </w:r>
      <w:r>
        <w:t xml:space="preserve"> </w:t>
      </w:r>
      <w:r>
        <w:t xml:space="preserve">are committed to the repository (</w:t>
      </w:r>
      <w:r>
        <w:rPr>
          <w:rStyle w:val="VerbatimChar"/>
        </w:rPr>
        <w:t xml:space="preserve">scripts/validation/enrich_*.py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docs/superpowers/</w:t>
      </w:r>
      <w:r>
        <w:t xml:space="preserve">) so the workflow itself is auditable.</w:t>
      </w:r>
    </w:p>
    <w:bookmarkEnd w:id="24"/>
    <w:bookmarkStart w:id="25" w:name="reproducibility"/>
    <w:p>
      <w:pPr>
        <w:pStyle w:val="Heading2"/>
      </w:pPr>
      <w:r>
        <w:t xml:space="preserve">2.9 Reproducibility</w:t>
      </w:r>
    </w:p>
    <w:p>
      <w:pPr>
        <w:pStyle w:val="FirstParagraph"/>
      </w:pPr>
      <w:r>
        <w:t xml:space="preserve">The entire pipeline is deterministic given its upstream inputs.</w:t>
      </w:r>
      <w:r>
        <w:t xml:space="preserve"> </w:t>
      </w:r>
      <w:r>
        <w:t xml:space="preserve">A reviewer or downstream user can reconstruct every Parquet file</w:t>
      </w:r>
      <w:r>
        <w:t xml:space="preserve"> </w:t>
      </w:r>
      <w:r>
        <w:t xml:space="preserve">and every figure byte-for-byte from:</w:t>
      </w:r>
    </w:p>
    <w:p>
      <w:pPr>
        <w:pStyle w:val="Compact"/>
        <w:numPr>
          <w:ilvl w:val="0"/>
          <w:numId w:val="1005"/>
        </w:numPr>
      </w:pPr>
      <w:r>
        <w:t xml:space="preserve">A tagged commit of the repository.</w:t>
      </w:r>
    </w:p>
    <w:p>
      <w:pPr>
        <w:pStyle w:val="Compact"/>
        <w:numPr>
          <w:ilvl w:val="0"/>
          <w:numId w:val="1005"/>
        </w:numPr>
      </w:pPr>
      <w:r>
        <w:t xml:space="preserve">Valid free-tier API keys for ENTSO-E, EIA, Elexon (registration</w:t>
      </w:r>
      <w:r>
        <w:t xml:space="preserve"> </w:t>
      </w:r>
      <w:r>
        <w:t xml:space="preserve">URLs in repository root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matplotlib + pyarrow</w:t>
      </w:r>
      <w:r>
        <w:t xml:space="preserve"> </w:t>
      </w:r>
      <w:r>
        <w:t xml:space="preserve">Python environment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dataset/README.md</w:t>
      </w:r>
      <w:r>
        <w:t xml:space="preserve"> </w:t>
      </w:r>
      <w:r>
        <w:t xml:space="preserve">§Reproducibility).</w:t>
      </w:r>
    </w:p>
    <w:p>
      <w:pPr>
        <w:pStyle w:val="FirstParagraph"/>
      </w:pPr>
      <w:r>
        <w:t xml:space="preserve">No proprietary data, no manual post-processing, no human-in-the-</w:t>
      </w:r>
      <w:r>
        <w:t xml:space="preserve"> </w:t>
      </w:r>
      <w:r>
        <w:t xml:space="preserve">loop curation beyond the audit trail documented above.</w:t>
      </w:r>
    </w:p>
    <w:bookmarkEnd w:id="25"/>
    <w:bookmarkStart w:id="26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src/methodology.md</w:t>
      </w:r>
      <w:r>
        <w:t xml:space="preserve"> </w:t>
      </w:r>
      <w:r>
        <w:t xml:space="preserve">— public-facing methodology, same source of</w:t>
      </w:r>
      <w:r>
        <w:t xml:space="preserve"> </w:t>
      </w:r>
      <w:r>
        <w:t xml:space="preserve">truth as this section.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docs/methodology/entsoe-rates.md</w:t>
      </w:r>
      <w:r>
        <w:t xml:space="preserve"> </w:t>
      </w:r>
      <w:r>
        <w:t xml:space="preserve">— per-zone ENTSO-E rate audit.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docs/methodology/historical-backfill.md</w:t>
      </w:r>
      <w:r>
        <w:t xml:space="preserve"> </w:t>
      </w:r>
      <w:r>
        <w:t xml:space="preserve">— backfill reconstruction</w:t>
      </w:r>
      <w:r>
        <w:t xml:space="preserve"> </w:t>
      </w:r>
      <w:r>
        <w:t xml:space="preserve">method.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docs/methodology/uncertainty.md</w:t>
      </w:r>
      <w:r>
        <w:t xml:space="preserve"> </w:t>
      </w:r>
      <w:r>
        <w:t xml:space="preserve">— tier model and envelope</w:t>
      </w:r>
      <w:r>
        <w:t xml:space="preserve"> </w:t>
      </w:r>
      <w:r>
        <w:t xml:space="preserve">calculation.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docs/methodology/china-provinces.md</w:t>
      </w:r>
      <w:r>
        <w:t xml:space="preserve"> </w:t>
      </w:r>
      <w:r>
        <w:t xml:space="preserve">— China calibration audit.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docs/methodology/flare-ercot-brazil.md</w:t>
      </w:r>
      <w:r>
        <w:t xml:space="preserve"> </w:t>
      </w:r>
      <w:r>
        <w:t xml:space="preserve">— GGFR flare revision +</w:t>
      </w:r>
      <w:r>
        <w:t xml:space="preserve"> </w:t>
      </w:r>
      <w:r>
        <w:t xml:space="preserve">ERCOT/Brazil narrative.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dataset/SCHEMA.md</w:t>
      </w:r>
      <w:r>
        <w:t xml:space="preserve"> </w:t>
      </w:r>
      <w:r>
        <w:t xml:space="preserve">— field schema for emitted artefacts.</w:t>
      </w:r>
    </w:p>
    <w:bookmarkEnd w:id="26"/>
    <w:bookmarkEnd w:id="27"/>
    <w:bookmarkStart w:id="42" w:name="data-records"/>
    <w:p>
      <w:pPr>
        <w:pStyle w:val="Heading1"/>
      </w:pPr>
      <w:r>
        <w:t xml:space="preserve">Data Records</w:t>
      </w:r>
    </w:p>
    <w:p>
      <w:pPr>
        <w:pStyle w:val="FirstParagraph"/>
      </w:pPr>
      <w:r>
        <w:rPr>
          <w:i/>
          <w:iCs/>
        </w:rPr>
        <w:t xml:space="preserve">Scientific Data Data Descriptor · Section 3 · Target length 500–1000</w:t>
      </w:r>
      <w:r>
        <w:rPr>
          <w:i/>
          <w:iCs/>
        </w:rPr>
        <w:t xml:space="preserve"> </w:t>
      </w:r>
      <w:r>
        <w:rPr>
          <w:i/>
          <w:iCs/>
        </w:rPr>
        <w:t xml:space="preserve">words.</w:t>
      </w:r>
    </w:p>
    <w:p>
      <w:pPr>
        <w:pStyle w:val="BodyText"/>
      </w:pPr>
      <w:r>
        <w:t xml:space="preserve">The dataset consists of three artefact classes: per-region JSON</w:t>
      </w:r>
      <w:r>
        <w:t xml:space="preserve"> </w:t>
      </w:r>
      <w:r>
        <w:t xml:space="preserve">snapshots (current state, overwritten on each build), a rolling</w:t>
      </w:r>
      <w:r>
        <w:t xml:space="preserve"> </w:t>
      </w:r>
      <w:r>
        <w:t xml:space="preserve">Parquet history (one row per region per build, appended), and a</w:t>
      </w:r>
      <w:r>
        <w:t xml:space="preserve"> </w:t>
      </w:r>
      <w:r>
        <w:t xml:space="preserve">seven-year Parquet backfill (one row per region per hour). All are</w:t>
      </w:r>
      <w:r>
        <w:t xml:space="preserve"> </w:t>
      </w:r>
      <w:r>
        <w:t xml:space="preserve">distributed together at the Zenodo DOI and mirrored on GitHub raw</w:t>
      </w:r>
      <w:r>
        <w:t xml:space="preserve"> </w:t>
      </w:r>
      <w:r>
        <w:t xml:space="preserve">URLs.</w:t>
      </w:r>
    </w:p>
    <w:bookmarkStart w:id="30" w:name="per-region-json-snapshots"/>
    <w:p>
      <w:pPr>
        <w:pStyle w:val="Heading2"/>
      </w:pPr>
      <w:r>
        <w:t xml:space="preserve">3.1 Per-region JSON snapshots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data/snapshots/last-good/&lt;regionId&gt;.json</w:t>
      </w:r>
      <w:r>
        <w:t xml:space="preserve"> </w:t>
      </w:r>
      <w:r>
        <w:rPr>
          <w:b/>
          <w:bCs/>
        </w:rPr>
        <w:t xml:space="preserve">Count:</w:t>
      </w:r>
      <w:r>
        <w:t xml:space="preserve"> </w:t>
      </w:r>
      <w:r>
        <w:t xml:space="preserve">230 files, one per region, covering every entry in</w:t>
      </w:r>
      <w:r>
        <w:t xml:space="preserve"> </w:t>
      </w:r>
      <w:r>
        <w:rPr>
          <w:rStyle w:val="VerbatimChar"/>
        </w:rPr>
        <w:t xml:space="preserve">src/lib/regions.ts</w:t>
      </w:r>
      <w:r>
        <w:t xml:space="preserve">.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UTF-8 JSON, ≈ 3 KB per file, schema enforced by</w:t>
      </w:r>
      <w:r>
        <w:t xml:space="preserve"> </w:t>
      </w:r>
      <w:r>
        <w:rPr>
          <w:rStyle w:val="VerbatimChar"/>
        </w:rPr>
        <w:t xml:space="preserve">dataset/schema/region-snapshot.schema.json</w:t>
      </w:r>
      <w:r>
        <w:t xml:space="preserve"> </w:t>
      </w:r>
      <w:r>
        <w:t xml:space="preserve">(JSON Schema Draft 2020-12).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overwritten on each scheduled build (~every 6 hours</w:t>
      </w:r>
      <w:r>
        <w:t xml:space="preserve"> </w:t>
      </w:r>
      <w:r>
        <w:t xml:space="preserve">per GitHub Actions cron).</w:t>
      </w:r>
    </w:p>
    <w:bookmarkStart w:id="28" w:name="record-schema"/>
    <w:p>
      <w:pPr>
        <w:pStyle w:val="Heading3"/>
      </w:pPr>
      <w:r>
        <w:t xml:space="preserve">Record 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Stable kebab-case ID matching</w:t>
            </w:r>
            <w:r>
              <w:t xml:space="preserve"> </w:t>
            </w:r>
            <w:r>
              <w:rPr>
                <w:rStyle w:val="VerbatimChar"/>
              </w:rPr>
              <w:t xml:space="preserve">src/lib/regions.ts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number[24]</w:t>
            </w:r>
          </w:p>
        </w:tc>
        <w:tc>
          <w:tcPr/>
          <w:p>
            <w:pPr>
              <w:pStyle w:val="Compact"/>
            </w:pPr>
            <w:r>
              <w:t xml:space="preserve">30-day trailing average curtailment in GW per UTC hour. Index 0 = 00:00–01:00 UTC.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number[24]</w:t>
            </w:r>
          </w:p>
        </w:tc>
        <w:tc>
          <w:tcPr/>
          <w:p>
            <w:pPr>
              <w:pStyle w:val="Compact"/>
            </w:pPr>
            <w:r>
              <w:t xml:space="preserve">Single-day latest snapshot in GW per UTC hour.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totalTWh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30-day trailing total curtailment in TWh.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peakGW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30-day trailing peak hourly GW.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Calibration-anchor date —</w:t>
            </w:r>
            <w:r>
              <w:t xml:space="preserve"> </w:t>
            </w:r>
            <w:r>
              <w:rPr>
                <w:rStyle w:val="VerbatimChar"/>
              </w:rPr>
              <w:t xml:space="preserve">YYYY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YYYY-Q#</w:t>
            </w:r>
            <w:r>
              <w:t xml:space="preserve">, or ISO-8601 timestamp.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lastSuccessAt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 timestamp when the snapshot was last successfully refreshed.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Human-readable provenance (source, window, calibration rate).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"live" \| "cached" \| "degraded" \| null</w:t>
            </w:r>
          </w:p>
        </w:tc>
        <w:tc>
          <w:tcPr/>
          <w:p>
            <w:pPr>
              <w:pStyle w:val="Compact"/>
            </w:pPr>
            <w:r>
              <w:t xml:space="preserve">Fresh fetch (</w:t>
            </w:r>
            <w:r>
              <w:rPr>
                <w:rStyle w:val="VerbatimChar"/>
              </w:rPr>
              <w:t xml:space="preserve">live</w:t>
            </w:r>
            <w:r>
              <w:t xml:space="preserve">), recent last-good (</w:t>
            </w:r>
            <w:r>
              <w:rPr>
                <w:rStyle w:val="VerbatimChar"/>
              </w:rPr>
              <w:t xml:space="preserve">cached</w:t>
            </w:r>
            <w:r>
              <w:t xml:space="preserve">), or stale last-good beyond threshold (</w:t>
            </w:r>
            <w:r>
              <w:rPr>
                <w:rStyle w:val="VerbatimChar"/>
              </w:rPr>
              <w:t xml:space="preserve">degraded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fuelShare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Record&lt;string, number&gt;</w:t>
            </w:r>
          </w:p>
        </w:tc>
        <w:tc>
          <w:tcPr/>
          <w:p>
            <w:pPr>
              <w:pStyle w:val="Compact"/>
            </w:pPr>
            <w:r>
              <w:t xml:space="preserve">Fuel split of curtailed energy, fractions 0–1, keys ⊂</w:t>
            </w:r>
            <w:r>
              <w:t xml:space="preserve"> </w:t>
            </w:r>
            <w:r>
              <w:rPr>
                <w:rStyle w:val="VerbatimChar"/>
              </w:rPr>
              <w:t xml:space="preserve">{solar, wind, hydro, geothermal, flare}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uncertaintyLowGW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Lower bound of the confidence envelope on</w:t>
            </w:r>
            <w:r>
              <w:t xml:space="preserve"> </w:t>
            </w:r>
            <w:r>
              <w:rPr>
                <w:rStyle w:val="VerbatimChar"/>
              </w:rPr>
              <w:t xml:space="preserve">peakGW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uncertaintyHighGW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Upper bound of the confidence envelope on</w:t>
            </w:r>
            <w:r>
              <w:t xml:space="preserve"> </w:t>
            </w:r>
            <w:r>
              <w:rPr>
                <w:rStyle w:val="VerbatimChar"/>
              </w:rPr>
              <w:t xml:space="preserve">peakGW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T1a-live-tso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T1b-live-domestic-anchored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T1c-live-neighbour-anchored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T2-annual-calibrated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T2-flare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T3-modelled</w:t>
            </w:r>
            <w:r>
              <w:t xml:space="preserve">. The legacy value</w:t>
            </w:r>
            <w:r>
              <w:t xml:space="preserve"> </w:t>
            </w:r>
            <w:r>
              <w:rPr>
                <w:rStyle w:val="VerbatimChar"/>
              </w:rPr>
              <w:t xml:space="preserve">T1-live-TSO</w:t>
            </w:r>
            <w:r>
              <w:t xml:space="preserve"> </w:t>
            </w:r>
            <w:r>
              <w:t xml:space="preserve">is retained as an alias of</w:t>
            </w:r>
            <w:r>
              <w:t xml:space="preserve"> </w:t>
            </w:r>
            <w:r>
              <w:rPr>
                <w:rStyle w:val="VerbatimChar"/>
              </w:rPr>
              <w:t xml:space="preserve">T1a-live-tso</w:t>
            </w:r>
            <w:r>
              <w:t xml:space="preserve"> </w:t>
            </w:r>
            <w:r>
              <w:t xml:space="preserve">for pre-2026-04-25 snapshots.</w:t>
            </w:r>
          </w:p>
        </w:tc>
      </w:tr>
    </w:tbl>
    <w:bookmarkEnd w:id="28"/>
    <w:bookmarkStart w:id="29" w:name="example-record"/>
    <w:p>
      <w:pPr>
        <w:pStyle w:val="Heading3"/>
      </w:pPr>
      <w:r>
        <w:t xml:space="preserve">Example record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0.671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0.590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"latestProfile"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0.82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"totalTWh"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"peakGW"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"2026-04-23T14:15:00Z"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"lastSuccessAt"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"2026-04-23T14:18:21Z"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"EIA CISO solar curtailment 2026-03-25 → 2026-04-23"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"fuelShare"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"uncertaintyLowGW"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"uncertaintyHighGW"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"T1a-live-tso"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Full field descriptions and update semantics:</w:t>
      </w:r>
      <w:r>
        <w:t xml:space="preserve"> </w:t>
      </w:r>
      <w:r>
        <w:rPr>
          <w:rStyle w:val="VerbatimChar"/>
        </w:rPr>
        <w:t xml:space="preserve">dataset/SCHEMA.md</w:t>
      </w:r>
      <w:r>
        <w:t xml:space="preserve">.</w:t>
      </w:r>
    </w:p>
    <w:bookmarkEnd w:id="29"/>
    <w:bookmarkEnd w:id="30"/>
    <w:bookmarkStart w:id="32" w:name="rolling-parquet-history"/>
    <w:p>
      <w:pPr>
        <w:pStyle w:val="Heading2"/>
      </w:pPr>
      <w:r>
        <w:t xml:space="preserve">3.2 Rolling Parquet history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data/historical/curtailment_history.parquet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Apache Parquet 2.6, Snappy compression, typed columns.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one row per region per scheduled build (~230 rows / 6 h</w:t>
      </w:r>
      <w:r>
        <w:t xml:space="preserve"> </w:t>
      </w:r>
      <w:r>
        <w:t xml:space="preserve">≈ 17 MB / year), appended by</w:t>
      </w:r>
      <w:r>
        <w:t xml:space="preserve"> </w:t>
      </w:r>
      <w:r>
        <w:rPr>
          <w:rStyle w:val="VerbatimChar"/>
        </w:rPr>
        <w:t xml:space="preserve">scripts/append_history.py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.github/workflows/history-append.yml</w:t>
      </w:r>
      <w:r>
        <w:t xml:space="preserve">.</w:t>
      </w:r>
      <w:r>
        <w:t xml:space="preserve"> </w:t>
      </w:r>
      <w:r>
        <w:rPr>
          <w:b/>
          <w:bCs/>
        </w:rPr>
        <w:t xml:space="preserve">Granularity:</w:t>
      </w:r>
      <w:r>
        <w:t xml:space="preserve"> </w:t>
      </w:r>
      <w:r>
        <w:t xml:space="preserve">build-level snapshot — each row captures the</w:t>
      </w:r>
      <w:r>
        <w:t xml:space="preserve"> </w:t>
      </w:r>
      <w:r>
        <w:t xml:space="preserve">30-day trailing aggregate at the moment the row was written.</w:t>
      </w:r>
    </w:p>
    <w:bookmarkStart w:id="31" w:name="schema"/>
    <w:p>
      <w:pPr>
        <w:pStyle w:val="Heading3"/>
      </w:pPr>
      <w:r>
        <w:t xml:space="preserve">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(ISO-8601 UTC)</w:t>
            </w:r>
          </w:p>
        </w:tc>
        <w:tc>
          <w:tcPr/>
          <w:p>
            <w:pPr>
              <w:pStyle w:val="Compact"/>
            </w:pPr>
            <w:r>
              <w:t xml:space="preserve">Time the row was written.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regionId</w:t>
            </w:r>
            <w:r>
              <w:t xml:space="preserve"> </w:t>
            </w:r>
            <w:r>
              <w:t xml:space="preserve">in the JSON snapshot.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peak_gw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30-day trailing peak hourly GW at build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total_twh_30d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30-day trailing total curtailment in TWh.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"live"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"cached"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"degraded"</w:t>
            </w:r>
            <w:r>
              <w:t xml:space="preserve">, or null.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Calibration-anchor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last_success_at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 timestamp when the snapshot was last successfully refreshed.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profile_h00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profile_h23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  <w:r>
              <w:t xml:space="preserve"> </w:t>
            </w:r>
            <w:r>
              <w:t xml:space="preserve">× 24</w:t>
            </w:r>
          </w:p>
        </w:tc>
        <w:tc>
          <w:tcPr/>
          <w:p>
            <w:pPr>
              <w:pStyle w:val="Compact"/>
            </w:pPr>
            <w:r>
              <w:t xml:space="preserve">Hourly profile.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uncertainty_low_gw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Lower bound on</w:t>
            </w:r>
            <w:r>
              <w:t xml:space="preserve"> </w:t>
            </w:r>
            <w:r>
              <w:rPr>
                <w:rStyle w:val="VerbatimChar"/>
              </w:rPr>
              <w:t xml:space="preserve">peak_gw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uncertainty_high_gw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Upper bound on</w:t>
            </w:r>
            <w:r>
              <w:t xml:space="preserve"> </w:t>
            </w:r>
            <w:r>
              <w:rPr>
                <w:rStyle w:val="VerbatimChar"/>
              </w:rPr>
              <w:t xml:space="preserve">peak_gw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confidence_tier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Tier label.</w:t>
            </w:r>
          </w:p>
        </w:tc>
      </w:tr>
    </w:tbl>
    <w:bookmarkEnd w:id="31"/>
    <w:bookmarkEnd w:id="32"/>
    <w:bookmarkStart w:id="34" w:name="seven-year-parquet-backfill"/>
    <w:p>
      <w:pPr>
        <w:pStyle w:val="Heading2"/>
      </w:pPr>
      <w:r>
        <w:t xml:space="preserve">3.3 Seven-year Parquet backfill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data/historical/curtailment_backfill.parquet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Apache Parquet 2.6, Snappy.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2,590,195 rows (≈ 20 MB compressed).</w:t>
      </w:r>
      <w:r>
        <w:t xml:space="preserve"> </w:t>
      </w:r>
      <w:r>
        <w:rPr>
          <w:b/>
          <w:bCs/>
        </w:rPr>
        <w:t xml:space="preserve">Coverage window:</w:t>
      </w:r>
      <w:r>
        <w:t xml:space="preserve"> </w:t>
      </w:r>
      <w:r>
        <w:t xml:space="preserve">2020-01-01 → 2026-04-24 (partial-year final</w:t>
      </w:r>
      <w:r>
        <w:t xml:space="preserve"> </w:t>
      </w:r>
      <w:r>
        <w:t xml:space="preserve">year).</w:t>
      </w:r>
      <w:r>
        <w:t xml:space="preserve"> </w:t>
      </w:r>
      <w:r>
        <w:rPr>
          <w:b/>
          <w:bCs/>
        </w:rPr>
        <w:t xml:space="preserve">Regions covered:</w:t>
      </w:r>
      <w:r>
        <w:t xml:space="preserve"> </w:t>
      </w:r>
      <w:r>
        <w:t xml:space="preserve">29 (all T1a-live-tso; regions without</w:t>
      </w:r>
      <w:r>
        <w:t xml:space="preserve"> </w:t>
      </w:r>
      <w:r>
        <w:t xml:space="preserve">multi-year upstream archives are not backfilled).</w:t>
      </w:r>
      <w:r>
        <w:t xml:space="preserve"> </w:t>
      </w:r>
      <w:r>
        <w:rPr>
          <w:b/>
          <w:bCs/>
        </w:rPr>
        <w:t xml:space="preserve">Partitioning on disk:</w:t>
      </w:r>
      <w:r>
        <w:t xml:space="preserve"> </w:t>
      </w:r>
      <w:r>
        <w:t xml:space="preserve">flat per-year files at</w:t>
      </w:r>
      <w:r>
        <w:t xml:space="preserve"> </w:t>
      </w:r>
      <w:r>
        <w:rPr>
          <w:rStyle w:val="VerbatimChar"/>
        </w:rPr>
        <w:t xml:space="preserve">data/historical/backfill/&lt;source&gt;_&lt;zone&gt;_&lt;year&gt;.parquet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eia_caiso_2024.parquet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entsoe_germany_2023.parquet</w:t>
      </w:r>
      <w:r>
        <w:t xml:space="preserve">)</w:t>
      </w:r>
      <w:r>
        <w:t xml:space="preserve"> </w:t>
      </w:r>
      <w:r>
        <w:t xml:space="preserve">for per-year consumption without a full-file read.</w:t>
      </w:r>
    </w:p>
    <w:bookmarkStart w:id="33" w:name="schema-1"/>
    <w:p>
      <w:pPr>
        <w:pStyle w:val="Heading3"/>
      </w:pPr>
      <w:r>
        <w:t xml:space="preserve">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observation_timestamp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(ISO-8601 UTC)</w:t>
            </w:r>
          </w:p>
        </w:tc>
        <w:tc>
          <w:tcPr/>
          <w:p>
            <w:pPr>
              <w:pStyle w:val="Compact"/>
            </w:pPr>
            <w:r>
              <w:t xml:space="preserve">Start of the hour the value covers.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Stable region ID, matches the JSON snapshot.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curtailment_gw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Reconstructed hourly curtailment in GW.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"wind"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"solar"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"hydro"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"geothermal"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"flare"</w:t>
            </w:r>
            <w:r>
              <w:t xml:space="preserve"> </w:t>
            </w:r>
            <w:r>
              <w:t xml:space="preserve">— the technology the curtailed energy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Provenance slug:</w:t>
            </w:r>
            <w:r>
              <w:t xml:space="preserve"> </w:t>
            </w:r>
            <w:r>
              <w:rPr>
                <w:rStyle w:val="VerbatimChar"/>
              </w:rPr>
              <w:t xml:space="preserve">"entsoe"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"eia"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"nord-pool"</w:t>
            </w:r>
            <w:r>
              <w:t xml:space="preserve">, ….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Calibration rate used to convert raw generation into curtailment (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when the source publishes curtailment directly).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Human-readable provenance of the rate.</w:t>
            </w:r>
          </w:p>
        </w:tc>
      </w:tr>
    </w:tbl>
    <w:p>
      <w:pPr>
        <w:pStyle w:val="BodyText"/>
      </w:pPr>
      <w:r>
        <w:t xml:space="preserve">Confidence-tier and uncertainty columns are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on</w:t>
      </w:r>
      <w:r>
        <w:t xml:space="preserve"> </w:t>
      </w:r>
      <w:r>
        <w:t xml:space="preserve">this file — the per-tier envelope is calibrated against annual</w:t>
      </w:r>
      <w:r>
        <w:t xml:space="preserve"> </w:t>
      </w:r>
      <w:r>
        <w:t xml:space="preserve">aggregates and lives on the annual rollup (§3.4). Consumers who</w:t>
      </w:r>
      <w:r>
        <w:t xml:space="preserve"> </w:t>
      </w:r>
      <w:r>
        <w:t xml:space="preserve">need to attach uncertainty to an hourly slice join the rollup on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. Full schema, including the rationale for that split,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dataset/SCHEMA.md</w:t>
      </w:r>
      <w:r>
        <w:t xml:space="preserve"> </w:t>
      </w:r>
      <w:r>
        <w:t xml:space="preserve">§</w:t>
      </w:r>
      <w:r>
        <w:t xml:space="preserve"> </w:t>
      </w:r>
      <w:r>
        <w:t xml:space="preserve">“Parquet hourly backfill”</w:t>
      </w:r>
      <w:r>
        <w:t xml:space="preserve">.</w:t>
      </w:r>
    </w:p>
    <w:p>
      <w:pPr>
        <w:pStyle w:val="BodyText"/>
      </w:pPr>
      <w:r>
        <w:t xml:space="preserve">The backfill is the source of truth for Figures 2, 3, and 5. Figure</w:t>
      </w:r>
      <w:r>
        <w:t xml:space="preserve"> </w:t>
      </w:r>
      <w:r>
        <w:t xml:space="preserve">4 is independent (tier-assignment only, no hourly data). Figure 1</w:t>
      </w:r>
      <w:r>
        <w:t xml:space="preserve"> </w:t>
      </w:r>
      <w:r>
        <w:t xml:space="preserve">uses the latest snapshot, not the backfill.</w:t>
      </w:r>
    </w:p>
    <w:bookmarkEnd w:id="33"/>
    <w:bookmarkEnd w:id="34"/>
    <w:bookmarkStart w:id="36" w:name="per-region-annual-rollup"/>
    <w:p>
      <w:pPr>
        <w:pStyle w:val="Heading2"/>
      </w:pPr>
      <w:r>
        <w:t xml:space="preserve">3.4 Per-region annual rollup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data/historical/per_region_annual.parquet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203 rows (29 regions × 7 years).</w:t>
      </w:r>
      <w:r>
        <w:t xml:space="preserve"> </w:t>
      </w:r>
      <w:r>
        <w:rPr>
          <w:b/>
          <w:bCs/>
        </w:rPr>
        <w:t xml:space="preserve">Built by:</w:t>
      </w:r>
      <w:r>
        <w:t xml:space="preserve"> </w:t>
      </w:r>
      <w:r>
        <w:rPr>
          <w:rStyle w:val="VerbatimChar"/>
        </w:rPr>
        <w:t xml:space="preserve">scripts/build_annual_rollup.py</w:t>
      </w:r>
      <w:r>
        <w:t xml:space="preserve"> </w:t>
      </w:r>
      <w:r>
        <w:t xml:space="preserve">from the backfill.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feeds Figure 5 (top-20 timeseries) and the validation</w:t>
      </w:r>
      <w:r>
        <w:t xml:space="preserve"> </w:t>
      </w:r>
      <w:r>
        <w:t xml:space="preserve">scatter (Figure 2). This is the file that carries the calibrated</w:t>
      </w:r>
      <w:r>
        <w:t xml:space="preserve"> </w:t>
      </w:r>
      <w:r>
        <w:t xml:space="preserve">uncertainty envelope; the hourly backfill (§3.3) does not.</w:t>
      </w:r>
    </w:p>
    <w:bookmarkStart w:id="35" w:name="schema-2"/>
    <w:p>
      <w:pPr>
        <w:pStyle w:val="Heading3"/>
      </w:pPr>
      <w:r>
        <w:t xml:space="preserve">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Stable region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int16</w:t>
            </w:r>
          </w:p>
        </w:tc>
        <w:tc>
          <w:tcPr/>
          <w:p>
            <w:pPr>
              <w:pStyle w:val="Compact"/>
            </w:pPr>
            <w:r>
              <w:t xml:space="preserve">Calendar year.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First non-null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value within the (region, year) partition.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n_hourly_rows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Non-null hours observed for this region in this year (full year = 8,760, leap year = 8,784).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annual_twh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curtailment_gw</w:t>
            </w:r>
            <w:r>
              <w:t xml:space="preserve"> </w:t>
            </w:r>
            <w:r>
              <w:t xml:space="preserve">× 1h ÷ 1000 across the year.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peak_gw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Max hourly</w:t>
            </w:r>
            <w:r>
              <w:t xml:space="preserve"> </w:t>
            </w:r>
            <w:r>
              <w:rPr>
                <w:rStyle w:val="VerbatimChar"/>
              </w:rPr>
              <w:t xml:space="preserve">curtailment_gw</w:t>
            </w:r>
            <w:r>
              <w:t xml:space="preserve"> </w:t>
            </w:r>
            <w:r>
              <w:t xml:space="preserve">across the year.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confidence_tier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T1a-live-tso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T1b-live-domestic-anchored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T1c-live-neighbour-anchored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T2-annual-calibrated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T2-flare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T3-modelled</w:t>
            </w:r>
            <w:r>
              <w:t xml:space="preserve"> </w:t>
            </w:r>
            <w:r>
              <w:t xml:space="preserve">(legacy</w:t>
            </w:r>
            <w:r>
              <w:t xml:space="preserve"> </w:t>
            </w:r>
            <w:r>
              <w:rPr>
                <w:rStyle w:val="VerbatimChar"/>
              </w:rPr>
              <w:t xml:space="preserve">T1-live-TSO</w:t>
            </w:r>
            <w:r>
              <w:t xml:space="preserve"> </w:t>
            </w:r>
            <w:r>
              <w:t xml:space="preserve">is an alias of T1a-live-tso for pre-2026-04-25 snapshots).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tier_fraction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Per-tier envelope half-width (0.15 T1a / 0.50 T1b / 0.355 T1c / 0.20 T2 / 0.40 T3).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uncertainty_low_gw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peak_gw × (1 − tier_fraction)</w:t>
            </w:r>
            <w:r>
              <w:t xml:space="preserve">, clamped to ≥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uncertainty_high_gw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peak_gw × (1 + tier_fraction)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uncertainty_low_twh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annual_twh × (1 − tier_fraction)</w:t>
            </w:r>
            <w:r>
              <w:t xml:space="preserve">, clamped to ≥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uncertainty_high_twh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annual_twh × (1 + tier_fraction)</w:t>
            </w:r>
            <w:r>
              <w:t xml:space="preserve">.</w:t>
            </w:r>
          </w:p>
        </w:tc>
      </w:tr>
    </w:tbl>
    <w:bookmarkEnd w:id="35"/>
    <w:bookmarkEnd w:id="36"/>
    <w:bookmarkStart w:id="37" w:name="validation-scatter-csv"/>
    <w:p>
      <w:pPr>
        <w:pStyle w:val="Heading2"/>
      </w:pPr>
      <w:r>
        <w:t xml:space="preserve">3.5 Validation scatter CSV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data/historical/figure2_validation_scatter.csv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23 rows (region-year anchor pairs).</w:t>
      </w:r>
      <w:r>
        <w:t xml:space="preserve"> </w:t>
      </w:r>
      <w:r>
        <w:rPr>
          <w:b/>
          <w:bCs/>
        </w:rPr>
        <w:t xml:space="preserve">Built by:</w:t>
      </w:r>
      <w:r>
        <w:t xml:space="preserve"> </w:t>
      </w:r>
      <w:r>
        <w:rPr>
          <w:rStyle w:val="VerbatimChar"/>
        </w:rPr>
        <w:t xml:space="preserve">scripts/validation/figure2_data.py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per_region_annual.parquet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scripts/validation/external-anchors.json</w:t>
      </w:r>
      <w:r>
        <w:t xml:space="preserve">.</w:t>
      </w:r>
      <w:r>
        <w:t xml:space="preserve"> </w:t>
      </w: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tier_fraction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backfill_twh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backfill_low_twh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backfill_high_twh</w:t>
      </w:r>
      <w:r>
        <w:t xml:space="preserve">,</w:t>
      </w:r>
      <w:r>
        <w:t xml:space="preserve"> </w:t>
      </w:r>
      <w:r>
        <w:rPr>
          <w:rStyle w:val="VerbatimChar"/>
        </w:rPr>
        <w:t xml:space="preserve">tso_anchor_twh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anchor_source</w:t>
      </w:r>
      <w:r>
        <w:t xml:space="preserve">.</w:t>
      </w:r>
    </w:p>
    <w:p>
      <w:pPr>
        <w:pStyle w:val="BodyText"/>
      </w:pPr>
      <w:r>
        <w:t xml:space="preserve">Published anchors are cited per row in the</w:t>
      </w:r>
      <w:r>
        <w:t xml:space="preserve"> </w:t>
      </w:r>
      <w:r>
        <w:rPr>
          <w:rStyle w:val="VerbatimChar"/>
        </w:rPr>
        <w:t xml:space="preserve">anchor_source</w:t>
      </w:r>
      <w:r>
        <w:t xml:space="preserve"> </w:t>
      </w:r>
      <w:r>
        <w:t xml:space="preserve">column</w:t>
      </w:r>
      <w:r>
        <w:t xml:space="preserve"> </w:t>
      </w:r>
      <w:r>
        <w:t xml:space="preserve">and traced in detail in</w:t>
      </w:r>
      <w:r>
        <w:t xml:space="preserve"> </w:t>
      </w:r>
      <w:r>
        <w:rPr>
          <w:rStyle w:val="VerbatimChar"/>
        </w:rPr>
        <w:t xml:space="preserve">scripts/validation/external-anchors.json</w:t>
      </w:r>
      <w:r>
        <w:t xml:space="preserve">,</w:t>
      </w:r>
      <w:r>
        <w:t xml:space="preserve"> </w:t>
      </w:r>
      <w:r>
        <w:t xml:space="preserve">which is the machine-readable counterpart to the TSO/IMM/SoM</w:t>
      </w:r>
      <w:r>
        <w:t xml:space="preserve"> </w:t>
      </w:r>
      <w:r>
        <w:t xml:space="preserve">citation trail documented in</w:t>
      </w:r>
      <w:r>
        <w:t xml:space="preserve"> </w:t>
      </w:r>
      <w:r>
        <w:rPr>
          <w:rStyle w:val="VerbatimChar"/>
        </w:rPr>
        <w:t xml:space="preserve">docs/validation/&lt;region&gt;.md</w:t>
      </w:r>
      <w:r>
        <w:t xml:space="preserve">.</w:t>
      </w:r>
    </w:p>
    <w:bookmarkEnd w:id="37"/>
    <w:bookmarkStart w:id="38" w:name="daily-global-csv-figure-3-input"/>
    <w:p>
      <w:pPr>
        <w:pStyle w:val="Heading2"/>
      </w:pPr>
      <w:r>
        <w:t xml:space="preserve">3.6 Daily global CSV (Figure 3 input)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data/historical/figure3_daily_global.csv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2,306 rows × 4 columns (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eia_gwh</w:t>
      </w:r>
      <w:r>
        <w:t xml:space="preserve">,</w:t>
      </w:r>
      <w:r>
        <w:t xml:space="preserve"> </w:t>
      </w:r>
      <w:r>
        <w:rPr>
          <w:rStyle w:val="VerbatimChar"/>
        </w:rPr>
        <w:t xml:space="preserve">entsoe_gwh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total_gwh</w:t>
      </w:r>
      <w:r>
        <w:t xml:space="preserve">).</w:t>
      </w:r>
      <w:r>
        <w:t xml:space="preserve"> </w:t>
      </w:r>
      <w:r>
        <w:rPr>
          <w:b/>
          <w:bCs/>
        </w:rPr>
        <w:t xml:space="preserve">Built by:</w:t>
      </w:r>
      <w:r>
        <w:t xml:space="preserve"> </w:t>
      </w:r>
      <w:r>
        <w:rPr>
          <w:rStyle w:val="VerbatimChar"/>
        </w:rPr>
        <w:t xml:space="preserve">scripts/validation/figure3_temporal_trace.py</w:t>
      </w:r>
      <w:r>
        <w:t xml:space="preserve">.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committed alongside</w:t>
      </w:r>
      <w:r>
        <w:t xml:space="preserve"> </w:t>
      </w:r>
      <w:r>
        <w:rPr>
          <w:rStyle w:val="VerbatimChar"/>
        </w:rPr>
        <w:t xml:space="preserve">curtailment_backfill.parquet</w:t>
      </w:r>
      <w:r>
        <w:t xml:space="preserve"> </w:t>
      </w:r>
      <w:r>
        <w:t xml:space="preserve">so</w:t>
      </w:r>
      <w:r>
        <w:t xml:space="preserve"> </w:t>
      </w:r>
      <w:r>
        <w:t xml:space="preserve">reviewers can reproduce Figure 3 without re-merging the 2.59M-row</w:t>
      </w:r>
      <w:r>
        <w:t xml:space="preserve"> </w:t>
      </w:r>
      <w:r>
        <w:t xml:space="preserve">archive.</w:t>
      </w:r>
    </w:p>
    <w:bookmarkEnd w:id="38"/>
    <w:bookmarkStart w:id="39" w:name="source-anchor-table"/>
    <w:p>
      <w:pPr>
        <w:pStyle w:val="Heading2"/>
      </w:pPr>
      <w:r>
        <w:t xml:space="preserve">3.7 Source anchor table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scripts/validation/external-anchors.json</w:t>
      </w:r>
      <w:r>
        <w:t xml:space="preserve"> </w:t>
      </w:r>
      <w:r>
        <w:rPr>
          <w:b/>
          <w:bCs/>
        </w:rPr>
        <w:t xml:space="preserve">Records:</w:t>
      </w:r>
      <w:r>
        <w:t xml:space="preserve"> </w:t>
      </w:r>
      <w:r>
        <w:t xml:space="preserve">123 per-region anchor entries keyed by</w:t>
      </w:r>
      <w:r>
        <w:t xml:space="preserve"> </w:t>
      </w:r>
      <w:r>
        <w:rPr>
          <w:rStyle w:val="VerbatimChar"/>
        </w:rPr>
        <w:t xml:space="preserve">regions.ts</w:t>
      </w:r>
      <w:r>
        <w:t xml:space="preserve"> </w:t>
      </w:r>
      <w:r>
        <w:t xml:space="preserve">ID. Each entry carries a</w:t>
      </w:r>
      <w:r>
        <w:t xml:space="preserve"> </w:t>
      </w:r>
      <w:r>
        <w:rPr>
          <w:rStyle w:val="VerbatimChar"/>
        </w:rPr>
        <w:t xml:space="preserve">tso_annual_latest</w:t>
      </w:r>
      <w:r>
        <w:t xml:space="preserve"> </w:t>
      </w:r>
      <w:r>
        <w:t xml:space="preserve">summary plus, where</w:t>
      </w:r>
      <w:r>
        <w:t xml:space="preserve"> </w:t>
      </w:r>
      <w:r>
        <w:t xml:space="preserve">the source publishes them, year-specific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tso_annual_2023</w:t>
      </w:r>
      <w:r>
        <w:t xml:space="preserve">,</w:t>
      </w:r>
      <w:r>
        <w:t xml:space="preserve"> </w:t>
      </w:r>
      <w:r>
        <w:rPr>
          <w:rStyle w:val="VerbatimChar"/>
        </w:rPr>
        <w:t xml:space="preserve">tso_annual_2024</w:t>
      </w:r>
      <w:r>
        <w:t xml:space="preserve">, …) with quoted phrases and</w:t>
      </w:r>
      <w:r>
        <w:t xml:space="preserve"> </w:t>
      </w:r>
      <w:r>
        <w:t xml:space="preserve">URLs. The strict subset of 23 region-year pairs where a backfilled</w:t>
      </w:r>
      <w:r>
        <w:t xml:space="preserve"> </w:t>
      </w:r>
      <w:r>
        <w:t xml:space="preserve">year aligns to an exact-year TSO total populates the Figure 2</w:t>
      </w:r>
      <w:r>
        <w:t xml:space="preserve"> </w:t>
      </w:r>
      <w:r>
        <w:t xml:space="preserve">scatter (§3.5); the broader pool backs the per-region validation</w:t>
      </w:r>
      <w:r>
        <w:t xml:space="preserve"> </w:t>
      </w:r>
      <w:r>
        <w:t xml:space="preserve">MDs (§3.8) and the discrepancy analysis in §4.</w:t>
      </w:r>
    </w:p>
    <w:bookmarkEnd w:id="39"/>
    <w:bookmarkStart w:id="40" w:name="per-region-validation-mds"/>
    <w:p>
      <w:pPr>
        <w:pStyle w:val="Heading2"/>
      </w:pPr>
      <w:r>
        <w:t xml:space="preserve">3.8 Per-region validation MDs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docs/validation/&lt;region&gt;.md</w:t>
      </w:r>
      <w:r>
        <w:t xml:space="preserve"> </w:t>
      </w:r>
      <w:r>
        <w:rPr>
          <w:b/>
          <w:bCs/>
        </w:rPr>
        <w:t xml:space="preserve">Count:</w:t>
      </w:r>
      <w:r>
        <w:t xml:space="preserve"> </w:t>
      </w:r>
      <w:r>
        <w:t xml:space="preserve">130 per-region files (plus a directory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_template.md</w:t>
      </w:r>
      <w:r>
        <w:t xml:space="preserve"> </w:t>
      </w:r>
      <w:r>
        <w:t xml:space="preserve">scaffold = 132 *.md total in the directory).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Markdown prose.</w:t>
      </w:r>
      <w:r>
        <w:t xml:space="preserve"> </w:t>
      </w:r>
      <w:r>
        <w:rPr>
          <w:b/>
          <w:bCs/>
        </w:rPr>
        <w:t xml:space="preserve">Per-file sections:</w:t>
      </w:r>
      <w:r>
        <w:t xml:space="preserve"> </w:t>
      </w:r>
      <w:r>
        <w:t xml:space="preserve">upstream source(s), calibration anchor,</w:t>
      </w:r>
      <w:r>
        <w:t xml:space="preserve"> </w:t>
      </w:r>
      <w:r>
        <w:t xml:space="preserve">discrepancy analysis, v0.5 decision. Generated and enriched via</w:t>
      </w:r>
      <w:r>
        <w:t xml:space="preserve"> </w:t>
      </w:r>
      <w:r>
        <w:rPr>
          <w:rStyle w:val="VerbatimChar"/>
        </w:rPr>
        <w:t xml:space="preserve">scripts/validation/enrich_discrepancy.py</w:t>
      </w:r>
      <w:r>
        <w:t xml:space="preserve"> </w:t>
      </w:r>
      <w:r>
        <w:t xml:space="preserve">with rule 4 enforced</w:t>
      </w:r>
      <w:r>
        <w:t xml:space="preserve"> </w:t>
      </w:r>
      <w:r>
        <w:t xml:space="preserve">(</w:t>
      </w:r>
      <w:r>
        <w:t xml:space="preserve">“say</w:t>
      </w:r>
      <w:r>
        <w:t xml:space="preserve"> </w:t>
      </w:r>
      <w:r>
        <w:t xml:space="preserve">‘no anchor extracted’</w:t>
      </w:r>
      <w:r>
        <w:t xml:space="preserve"> </w:t>
      </w:r>
      <w:r>
        <w:t xml:space="preserve">rather than making one up”</w:t>
      </w:r>
      <w:r>
        <w:t xml:space="preserve">).</w:t>
      </w:r>
    </w:p>
    <w:bookmarkEnd w:id="40"/>
    <w:bookmarkStart w:id="41" w:name="regeneration-chain"/>
    <w:p>
      <w:pPr>
        <w:pStyle w:val="Heading2"/>
      </w:pPr>
      <w:r>
        <w:t xml:space="preserve">3.9 Regeneration chain</w:t>
      </w:r>
    </w:p>
    <w:p>
      <w:pPr>
        <w:pStyle w:val="FirstParagraph"/>
      </w:pPr>
      <w:r>
        <w:t xml:space="preserve">Every artefact above is regenerable from upstream sources via</w:t>
      </w:r>
      <w:r>
        <w:t xml:space="preserve"> </w:t>
      </w:r>
      <w:r>
        <w:t xml:space="preserve">the loaders in</w:t>
      </w:r>
      <w:r>
        <w:t xml:space="preserve"> </w:t>
      </w:r>
      <w:r>
        <w:rPr>
          <w:rStyle w:val="VerbatimChar"/>
        </w:rPr>
        <w:t xml:space="preserve">src/data/*.json.ts</w:t>
      </w:r>
      <w:r>
        <w:t xml:space="preserve">. The order of regeneration</w:t>
      </w:r>
      <w:r>
        <w:t xml:space="preserve"> </w:t>
      </w:r>
      <w:r>
        <w:t xml:space="preserve">for a full rebuild is:</w:t>
      </w:r>
    </w:p>
    <w:p>
      <w:pPr>
        <w:pStyle w:val="Compact"/>
        <w:numPr>
          <w:ilvl w:val="0"/>
          <w:numId w:val="1007"/>
        </w:numPr>
      </w:pPr>
      <w:r>
        <w:t xml:space="preserve">Live loaders populate</w:t>
      </w:r>
      <w:r>
        <w:t xml:space="preserve"> </w:t>
      </w:r>
      <w:r>
        <w:rPr>
          <w:rStyle w:val="VerbatimChar"/>
        </w:rPr>
        <w:t xml:space="preserve">data/snapshots/last-good/*.json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scripts/backfill/</w:t>
      </w:r>
      <w:r>
        <w:t xml:space="preserve"> </w:t>
      </w:r>
      <w:r>
        <w:t xml:space="preserve">loaders populate the per-year</w:t>
      </w:r>
      <w:r>
        <w:t xml:space="preserve"> </w:t>
      </w:r>
      <w:r>
        <w:t xml:space="preserve">partitions of</w:t>
      </w:r>
      <w:r>
        <w:t xml:space="preserve"> </w:t>
      </w:r>
      <w:r>
        <w:rPr>
          <w:rStyle w:val="VerbatimChar"/>
        </w:rPr>
        <w:t xml:space="preserve">data/historical/backfill/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scripts/backfill/merge_to_parquet.py</w:t>
      </w:r>
      <w:r>
        <w:t xml:space="preserve"> </w:t>
      </w:r>
      <w:r>
        <w:t xml:space="preserve">consolidates those into</w:t>
      </w:r>
      <w:r>
        <w:t xml:space="preserve"> </w:t>
      </w:r>
      <w:r>
        <w:rPr>
          <w:rStyle w:val="VerbatimChar"/>
        </w:rPr>
        <w:t xml:space="preserve">curtailment_backfill.parquet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scripts/build_annual_rollup.py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per_region_annual.parquet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Figure scripts under</w:t>
      </w:r>
      <w:r>
        <w:t xml:space="preserve"> </w:t>
      </w:r>
      <w:r>
        <w:rPr>
          <w:rStyle w:val="VerbatimChar"/>
        </w:rPr>
        <w:t xml:space="preserve">scripts/validation/figure*.py</w:t>
      </w:r>
      <w:r>
        <w:t xml:space="preserve"> </w:t>
      </w:r>
      <w:r>
        <w:t xml:space="preserve">read</w:t>
      </w:r>
      <w:r>
        <w:t xml:space="preserve"> </w:t>
      </w:r>
      <w:r>
        <w:t xml:space="preserve">the parquet artefacts and emit PDF + PNG.</w:t>
      </w:r>
    </w:p>
    <w:p>
      <w:pPr>
        <w:pStyle w:val="FirstParagraph"/>
      </w:pPr>
      <w:r>
        <w:t xml:space="preserve">The chain is deterministic; same inputs produce same bytes on</w:t>
      </w:r>
      <w:r>
        <w:t xml:space="preserve"> </w:t>
      </w:r>
      <w:r>
        <w:rPr>
          <w:rStyle w:val="VerbatimChar"/>
        </w:rPr>
        <w:t xml:space="preserve">matplotlib ≥ 3.10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pyarrow ≥ 15</w:t>
      </w:r>
      <w:r>
        <w:t xml:space="preserve">.</w:t>
      </w:r>
    </w:p>
    <w:bookmarkEnd w:id="41"/>
    <w:bookmarkEnd w:id="42"/>
    <w:bookmarkStart w:id="57" w:name="technical-validation"/>
    <w:p>
      <w:pPr>
        <w:pStyle w:val="Heading1"/>
      </w:pPr>
      <w:r>
        <w:t xml:space="preserve">Technical Validation</w:t>
      </w:r>
    </w:p>
    <w:p>
      <w:pPr>
        <w:pStyle w:val="FirstParagraph"/>
      </w:pPr>
      <w:r>
        <w:rPr>
          <w:i/>
          <w:iCs/>
        </w:rPr>
        <w:t xml:space="preserve">Scientific Data Data Descriptor · Section 4 · Target length 1000–2000</w:t>
      </w:r>
      <w:r>
        <w:rPr>
          <w:i/>
          <w:iCs/>
        </w:rPr>
        <w:t xml:space="preserve"> </w:t>
      </w:r>
      <w:r>
        <w:rPr>
          <w:i/>
          <w:iCs/>
        </w:rPr>
        <w:t xml:space="preserve">words.</w:t>
      </w:r>
    </w:p>
    <w:p>
      <w:pPr>
        <w:pStyle w:val="BodyText"/>
      </w:pPr>
      <w:r>
        <w:t xml:space="preserve">Synthesis Data Descriptors live or die in this section. This section</w:t>
      </w:r>
      <w:r>
        <w:t xml:space="preserve"> </w:t>
      </w:r>
      <w:r>
        <w:t xml:space="preserve">documents how the dataset’s reconstruction is triangulated against</w:t>
      </w:r>
      <w:r>
        <w:t xml:space="preserve"> </w:t>
      </w:r>
      <w:r>
        <w:t xml:space="preserve">independent public anchors, quantifies the gaps, and states where</w:t>
      </w:r>
      <w:r>
        <w:t xml:space="preserve"> </w:t>
      </w:r>
      <w:r>
        <w:t xml:space="preserve">the gaps come from and how they will be closed in future releases.</w:t>
      </w:r>
    </w:p>
    <w:bookmarkStart w:id="43" w:name="validation-strategy"/>
    <w:p>
      <w:pPr>
        <w:pStyle w:val="Heading2"/>
      </w:pPr>
      <w:r>
        <w:t xml:space="preserve">4.1 Validation strategy</w:t>
      </w:r>
    </w:p>
    <w:p>
      <w:pPr>
        <w:pStyle w:val="FirstParagraph"/>
      </w:pPr>
      <w:r>
        <w:t xml:space="preserve">Three layers of validation are performed: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Backfill-vs-anchor scatter (Figure 2).</w:t>
      </w:r>
      <w:r>
        <w:t xml:space="preserve"> </w:t>
      </w:r>
      <w:r>
        <w:t xml:space="preserve">For every region-year</w:t>
      </w:r>
      <w:r>
        <w:t xml:space="preserve"> </w:t>
      </w:r>
      <w:r>
        <w:t xml:space="preserve">where a TSO, ISO, Independent Market Monitor, or State-of-the-</w:t>
      </w:r>
      <w:r>
        <w:t xml:space="preserve"> </w:t>
      </w:r>
      <w:r>
        <w:t xml:space="preserve">Market report publishes an annual curtailment total, we compare</w:t>
      </w:r>
      <w:r>
        <w:t xml:space="preserve"> </w:t>
      </w:r>
      <w:r>
        <w:t xml:space="preserve">our historical-backfill reconstruction at the same scale. 23</w:t>
      </w:r>
      <w:r>
        <w:t xml:space="preserve"> </w:t>
      </w:r>
      <w:r>
        <w:t xml:space="preserve">region-year pairs tested.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Per-region discrepancy prose.</w:t>
      </w:r>
      <w:r>
        <w:t xml:space="preserve"> </w:t>
      </w:r>
      <w:r>
        <w:t xml:space="preserve">Every material discrepancy</w:t>
      </w:r>
      <w:r>
        <w:t xml:space="preserve"> </w:t>
      </w:r>
      <w:r>
        <w:t xml:space="preserve">(|Δ%| &gt; 50%) is diagnosed in</w:t>
      </w:r>
      <w:r>
        <w:t xml:space="preserve"> </w:t>
      </w:r>
      <w:r>
        <w:rPr>
          <w:rStyle w:val="VerbatimChar"/>
        </w:rPr>
        <w:t xml:space="preserve">docs/validation/&lt;region&gt;.md</w:t>
      </w:r>
      <w:r>
        <w:t xml:space="preserve"> </w:t>
      </w:r>
      <w:r>
        <w:t xml:space="preserve">against the five-category taxonomy: definitional, rate</w:t>
      </w:r>
      <w:r>
        <w:t xml:space="preserve"> </w:t>
      </w:r>
      <w:r>
        <w:t xml:space="preserve">under-calibration, rate over-calibration, reporting lag, regime</w:t>
      </w:r>
      <w:r>
        <w:t xml:space="preserve"> </w:t>
      </w:r>
      <w:r>
        <w:t xml:space="preserve">change, scope mismatch. 12 such regions carry commit-grade</w:t>
      </w:r>
      <w:r>
        <w:t xml:space="preserve"> </w:t>
      </w:r>
      <w:r>
        <w:t xml:space="preserve">analysis.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Dataset-level survey.</w:t>
      </w:r>
      <w:r>
        <w:t xml:space="preserve"> </w:t>
      </w:r>
      <w:r>
        <w:rPr>
          <w:rStyle w:val="VerbatimChar"/>
        </w:rPr>
        <w:t xml:space="preserve">docs/methodology/validation-discrepancies.md</w:t>
      </w:r>
      <w:r>
        <w:t xml:space="preserve"> </w:t>
      </w:r>
      <w:r>
        <w:t xml:space="preserve">is the single</w:t>
      </w:r>
      <w:r>
        <w:t xml:space="preserve"> </w:t>
      </w:r>
      <w:r>
        <w:t xml:space="preserve">document a reviewer can read to see every material gap in the</w:t>
      </w:r>
      <w:r>
        <w:t xml:space="preserve"> </w:t>
      </w:r>
      <w:r>
        <w:t xml:space="preserve">dataset grouped by cause.</w:t>
      </w:r>
    </w:p>
    <w:bookmarkEnd w:id="43"/>
    <w:bookmarkStart w:id="44" w:name="headline-validation-results"/>
    <w:p>
      <w:pPr>
        <w:pStyle w:val="Heading2"/>
      </w:pPr>
      <w:r>
        <w:t xml:space="preserve">4.2 Headline validation results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docs/methodology/validation-discrepancies.md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Region-year pairs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Within ±15% T1a envelope</w:t>
            </w:r>
          </w:p>
        </w:tc>
        <w:tc>
          <w:tcPr/>
          <w:p>
            <w:pPr>
              <w:pStyle w:val="Compact"/>
            </w:pPr>
            <w:r>
              <w:t xml:space="preserve">ercot-east, ercot-west, nyiso, poland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Moderate (15% &lt;</w:t>
            </w:r>
          </w:p>
        </w:tc>
        <w:tc>
          <w:tcPr/>
          <w:p>
            <w:pPr>
              <w:pStyle w:val="Compact"/>
            </w:pPr>
            <w:r>
              <w:t xml:space="preserve">Δ%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Material (</w:t>
            </w:r>
          </w:p>
        </w:tc>
        <w:tc>
          <w:tcPr/>
          <w:p>
            <w:pPr>
              <w:pStyle w:val="Compact"/>
            </w:pPr>
            <w:r>
              <w:t xml:space="preserve">Δ%</w:t>
            </w:r>
          </w:p>
        </w:tc>
      </w:tr>
    </w:tbl>
    <w:p>
      <w:pPr>
        <w:pStyle w:val="BodyText"/>
      </w:pPr>
      <w:r>
        <w:t xml:space="preserve">Median |Δ%| across all 23 pairs: 53.4%. Figure 2 shows every pair</w:t>
      </w:r>
      <w:r>
        <w:t xml:space="preserve"> </w:t>
      </w:r>
      <w:r>
        <w:t xml:space="preserve">with its ±tier-fraction error bar. Bucket boundaries match the</w:t>
      </w:r>
      <w:r>
        <w:t xml:space="preserve"> </w:t>
      </w:r>
      <w:r>
        <w:t xml:space="preserve">colour classification used by</w:t>
      </w:r>
      <w:r>
        <w:t xml:space="preserve"> </w:t>
      </w:r>
      <w:r>
        <w:rPr>
          <w:rStyle w:val="VerbatimChar"/>
        </w:rPr>
        <w:t xml:space="preserve">scripts/validation/figure2_plot.py</w:t>
      </w:r>
      <w:r>
        <w:t xml:space="preserve">.</w:t>
      </w:r>
    </w:p>
    <w:bookmarkEnd w:id="44"/>
    <w:bookmarkStart w:id="49" w:name="interpreting-1923-points-outside-15"/>
    <w:p>
      <w:pPr>
        <w:pStyle w:val="Heading2"/>
      </w:pPr>
      <w:r>
        <w:t xml:space="preserve">4.3 Interpreting 19/23 points outside ±15%</w:t>
      </w:r>
    </w:p>
    <w:p>
      <w:pPr>
        <w:pStyle w:val="FirstParagraph"/>
      </w:pPr>
      <w:r>
        <w:t xml:space="preserve">The ±15% envelope is a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for the subset of regions where</w:t>
      </w:r>
      <w:r>
        <w:t xml:space="preserve"> </w:t>
      </w:r>
      <w:r>
        <w:t xml:space="preserve">the rate-model converges on the anchor — not a claim that every</w:t>
      </w:r>
      <w:r>
        <w:t xml:space="preserve"> </w:t>
      </w:r>
      <w:r>
        <w:t xml:space="preserve">region lies within it. The 12 material discrepancies fall into</w:t>
      </w:r>
      <w:r>
        <w:t xml:space="preserve"> </w:t>
      </w:r>
      <w:r>
        <w:t xml:space="preserve">four identifiable cause classes, all documented with a diagnostic</w:t>
      </w:r>
      <w:r>
        <w:t xml:space="preserve"> </w:t>
      </w:r>
      <w:r>
        <w:t xml:space="preserve">category per pair:</w:t>
      </w:r>
    </w:p>
    <w:bookmarkStart w:id="45" w:name="scope-mismatch-4-regions"/>
    <w:p>
      <w:pPr>
        <w:pStyle w:val="Heading3"/>
      </w:pPr>
      <w:r>
        <w:t xml:space="preserve">Scope mismatch (4 regions)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Our rate-model scope differs from the anchor’s accounting</w:t>
      </w:r>
      <w:r>
        <w:t xml:space="preserve"> </w:t>
      </w:r>
      <w:r>
        <w:t xml:space="preserve">concept.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norway-no3</w:t>
      </w:r>
      <w:r>
        <w:rPr>
          <w:b/>
          <w:bCs/>
        </w:rPr>
        <w:t xml:space="preserve"> </w:t>
      </w:r>
      <w:r>
        <w:rPr>
          <w:b/>
          <w:bCs/>
        </w:rPr>
        <w:t xml:space="preserve">+622%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norway-no4</w:t>
      </w:r>
      <w:r>
        <w:rPr>
          <w:b/>
          <w:bCs/>
        </w:rPr>
        <w:t xml:space="preserve"> </w:t>
      </w:r>
      <w:r>
        <w:rPr>
          <w:b/>
          <w:bCs/>
        </w:rPr>
        <w:t xml:space="preserve">+299%.</w:t>
      </w:r>
      <w:r>
        <w:t xml:space="preserve"> </w:t>
      </w:r>
      <w:r>
        <w:t xml:space="preserve">Rate applied to</w:t>
      </w:r>
      <w:r>
        <w:t xml:space="preserve"> </w:t>
      </w:r>
      <w:r>
        <w:t xml:space="preserve">(hydro + wind); published anchor is wind-only. Norwegian</w:t>
      </w:r>
      <w:r>
        <w:t xml:space="preserve"> </w:t>
      </w:r>
      <w:r>
        <w:t xml:space="preserve">hydro spill is an independent phenomenon that Statnett does not</w:t>
      </w:r>
      <w:r>
        <w:t xml:space="preserve"> </w:t>
      </w:r>
      <w:r>
        <w:t xml:space="preserve">publish under the same heading as wind curtailment. v1</w:t>
      </w:r>
      <w:r>
        <w:t xml:space="preserve"> </w:t>
      </w:r>
      <w:r>
        <w:t xml:space="preserve">recalibration moves rate application to wind-only to match</w:t>
      </w:r>
      <w:r>
        <w:t xml:space="preserve"> </w:t>
      </w:r>
      <w:r>
        <w:t xml:space="preserve">anchor scope.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iberia</w:t>
      </w:r>
      <w:r>
        <w:rPr>
          <w:b/>
          <w:bCs/>
        </w:rPr>
        <w:t xml:space="preserve"> </w:t>
      </w:r>
      <w:r>
        <w:rPr>
          <w:b/>
          <w:bCs/>
        </w:rPr>
        <w:t xml:space="preserve">+333%.</w:t>
      </w:r>
      <w:r>
        <w:t xml:space="preserve"> </w:t>
      </w:r>
      <w:r>
        <w:t xml:space="preserve">Feed covers ES+PT aggregated curtailment</w:t>
      </w:r>
      <w:r>
        <w:t xml:space="preserve"> </w:t>
      </w:r>
      <w:r>
        <w:t xml:space="preserve">calibrated to REE’s 10.6 TWh total; Figure 2 anchor row was an</w:t>
      </w:r>
      <w:r>
        <w:t xml:space="preserve"> </w:t>
      </w:r>
      <w:r>
        <w:t xml:space="preserve">earlier 2.1 TWh</w:t>
      </w:r>
      <w:r>
        <w:t xml:space="preserve"> </w:t>
      </w:r>
      <w:r>
        <w:t xml:space="preserve">“grid-side redispatch”</w:t>
      </w:r>
      <w:r>
        <w:t xml:space="preserve"> </w:t>
      </w:r>
      <w:r>
        <w:t xml:space="preserve">subset. Anchor updated to</w:t>
      </w:r>
      <w:r>
        <w:t xml:space="preserve"> </w:t>
      </w:r>
      <w:r>
        <w:t xml:space="preserve">10.6 TWh in v1.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italy-sardinia</w:t>
      </w:r>
      <w:r>
        <w:rPr>
          <w:b/>
          <w:bCs/>
        </w:rPr>
        <w:t xml:space="preserve"> </w:t>
      </w:r>
      <w:r>
        <w:rPr>
          <w:b/>
          <w:bCs/>
        </w:rPr>
        <w:t xml:space="preserve">+88%.</w:t>
      </w:r>
      <w:r>
        <w:t xml:space="preserve"> </w:t>
      </w:r>
      <w:r>
        <w:t xml:space="preserve">Anchor is 20% × Terna national</w:t>
      </w:r>
      <w:r>
        <w:t xml:space="preserve"> </w:t>
      </w:r>
      <w:r>
        <w:t xml:space="preserve">(estimated Sardinia share); Terna does not separately publish</w:t>
      </w:r>
      <w:r>
        <w:t xml:space="preserve"> </w:t>
      </w:r>
      <w:r>
        <w:t xml:space="preserve">zonal breakdown.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italy-north-zone</w:t>
      </w:r>
      <w:r>
        <w:t xml:space="preserve"> </w:t>
      </w:r>
      <w:r>
        <w:t xml:space="preserve">also exhibits a scope mismatch but its |Δ%|</w:t>
      </w:r>
      <w:r>
        <w:t xml:space="preserve"> </w:t>
      </w:r>
      <w:r>
        <w:t xml:space="preserve">sits at 45%, inside the moderate band; see §4.2 table.)</w:t>
      </w:r>
    </w:p>
    <w:bookmarkEnd w:id="45"/>
    <w:bookmarkStart w:id="46" w:name="definitional-mismatch-1-region"/>
    <w:p>
      <w:pPr>
        <w:pStyle w:val="Heading3"/>
      </w:pPr>
      <w:r>
        <w:t xml:space="preserve">Definitional mismatch (1 region)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iso-ne</w:t>
      </w:r>
      <w:r>
        <w:rPr>
          <w:b/>
          <w:bCs/>
        </w:rPr>
        <w:t xml:space="preserve"> </w:t>
      </w:r>
      <w:r>
        <w:rPr>
          <w:b/>
          <w:bCs/>
        </w:rPr>
        <w:t xml:space="preserve">+284%.</w:t>
      </w:r>
      <w:r>
        <w:t xml:space="preserve"> </w:t>
      </w:r>
      <w:r>
        <w:t xml:space="preserve">Anchor = IMM</w:t>
      </w:r>
      <w:r>
        <w:t xml:space="preserve"> </w:t>
      </w:r>
      <w:r>
        <w:t xml:space="preserve">“dispatch-down”</w:t>
      </w:r>
      <w:r>
        <w:t xml:space="preserve"> </w:t>
      </w:r>
      <w:r>
        <w:t xml:space="preserve">(a narrow</w:t>
      </w:r>
      <w:r>
        <w:t xml:space="preserve"> </w:t>
      </w:r>
      <w:r>
        <w:t xml:space="preserve">economic-curtailment concept); 93% is concentrated in the</w:t>
      </w:r>
      <w:r>
        <w:t xml:space="preserve"> </w:t>
      </w:r>
      <w:r>
        <w:t xml:space="preserve">Maine/Vermont congestion pocket. Our rate captures broader</w:t>
      </w:r>
      <w:r>
        <w:t xml:space="preserve"> </w:t>
      </w:r>
      <w:r>
        <w:t xml:space="preserve">renewable shed across the ISO footprint. Different definitions</w:t>
      </w:r>
      <w:r>
        <w:t xml:space="preserve"> </w:t>
      </w:r>
      <w:r>
        <w:t xml:space="preserve">of the same phenomenon.</w:t>
      </w:r>
    </w:p>
    <w:bookmarkEnd w:id="46"/>
    <w:bookmarkStart w:id="47" w:name="regime-change-1-region"/>
    <w:p>
      <w:pPr>
        <w:pStyle w:val="Heading3"/>
      </w:pPr>
      <w:r>
        <w:t xml:space="preserve">Regime change (1 region)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germany</w:t>
      </w:r>
      <w:r>
        <w:rPr>
          <w:b/>
          <w:bCs/>
        </w:rPr>
        <w:t xml:space="preserve"> </w:t>
      </w:r>
      <w:r>
        <w:rPr>
          <w:b/>
          <w:bCs/>
        </w:rPr>
        <w:t xml:space="preserve">−59%.</w:t>
      </w:r>
      <w:r>
        <w:t xml:space="preserve"> </w:t>
      </w:r>
      <w:r>
        <w:t xml:space="preserve">BNetzA 2024 anchor = 23.2 TWh inclusive of</w:t>
      </w:r>
      <w:r>
        <w:t xml:space="preserve"> </w:t>
      </w:r>
      <w:r>
        <w:t xml:space="preserve">Redispatch 2.0 volumes introduced October 2021; our rate</w:t>
      </w:r>
      <w:r>
        <w:t xml:space="preserve"> </w:t>
      </w:r>
      <w:r>
        <w:t xml:space="preserve">captures the older</w:t>
      </w:r>
      <w:r>
        <w:t xml:space="preserve"> </w:t>
      </w:r>
      <w:r>
        <w:t xml:space="preserve">“EEG Einspeisemanagement”</w:t>
      </w:r>
      <w:r>
        <w:t xml:space="preserve"> </w:t>
      </w:r>
      <w:r>
        <w:t xml:space="preserve">concept that is</w:t>
      </w:r>
      <w:r>
        <w:t xml:space="preserve"> </w:t>
      </w:r>
      <w:r>
        <w:t xml:space="preserve">roughly 60% of the new regime. The divergence is the accounting</w:t>
      </w:r>
      <w:r>
        <w:t xml:space="preserve"> </w:t>
      </w:r>
      <w:r>
        <w:t xml:space="preserve">change, not an arithmetic miscalibration. Documented in</w:t>
      </w:r>
      <w:r>
        <w:t xml:space="preserve"> </w:t>
      </w:r>
      <w:r>
        <w:rPr>
          <w:rStyle w:val="VerbatimChar"/>
        </w:rPr>
        <w:t xml:space="preserve">docs/methodology/historical-backfill.md §"Regime change"</w:t>
      </w:r>
      <w:r>
        <w:t xml:space="preserve">.</w:t>
      </w:r>
    </w:p>
    <w:bookmarkEnd w:id="47"/>
    <w:bookmarkStart w:id="48" w:name="X14befcfb0a63ad89cf3bc3056739b73cc8a1c5f"/>
    <w:p>
      <w:pPr>
        <w:pStyle w:val="Heading3"/>
      </w:pPr>
      <w:r>
        <w:t xml:space="preserve">Rate over/under calibration candidates (6 regions)</w:t>
      </w:r>
    </w:p>
    <w:p>
      <w:pPr>
        <w:pStyle w:val="FirstParagraph"/>
      </w:pPr>
      <w:r>
        <w:t xml:space="preserve">Regions where an Ember-based denominator or a placeholder rate</w:t>
      </w:r>
      <w:r>
        <w:t xml:space="preserve"> </w:t>
      </w:r>
      <w:r>
        <w:t xml:space="preserve">produces drift beyond what scope/definition can explain: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greece</w:t>
      </w:r>
      <w:r>
        <w:t xml:space="preserve"> </w:t>
      </w:r>
      <w:r>
        <w:t xml:space="preserve">+129% (Ember-2024 VRE denominator may underrepresent</w:t>
      </w:r>
      <w:r>
        <w:t xml:space="preserve"> </w:t>
      </w:r>
      <w:r>
        <w:t xml:space="preserve">2024 growth — v1 refresh candidate)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portugal</w:t>
      </w:r>
      <w:r>
        <w:t xml:space="preserve"> </w:t>
      </w:r>
      <w:r>
        <w:t xml:space="preserve">+128% (placeholder rate, no citable REN 2024 anchor)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miso</w:t>
      </w:r>
      <w:r>
        <w:t xml:space="preserve"> </w:t>
      </w:r>
      <w:r>
        <w:t xml:space="preserve">+53% (SoM covers market-settled only; our rate captures</w:t>
      </w:r>
      <w:r>
        <w:t xml:space="preserve"> </w:t>
      </w:r>
      <w:r>
        <w:t xml:space="preserve">broader operator-curtailed wind)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netherlands</w:t>
      </w:r>
      <w:r>
        <w:t xml:space="preserve"> </w:t>
      </w:r>
      <w:r>
        <w:t xml:space="preserve">−73% (IEEFA 4.9% applied to A75 B16+B18+B19, but</w:t>
      </w:r>
      <w:r>
        <w:t xml:space="preserve"> </w:t>
      </w:r>
      <w:r>
        <w:t xml:space="preserve">IEEFA figure is VRE-scope aggregate including economic</w:t>
      </w:r>
      <w:r>
        <w:t xml:space="preserve"> </w:t>
      </w:r>
      <w:r>
        <w:t xml:space="preserve">redispatch A75 doesn’t return)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baltics</w:t>
      </w:r>
      <w:r>
        <w:t xml:space="preserve"> </w:t>
      </w:r>
      <w:r>
        <w:t xml:space="preserve">−59% (placeholder rate, Litgrid publishes combined</w:t>
      </w:r>
      <w:r>
        <w:t xml:space="preserve"> </w:t>
      </w:r>
      <w:r>
        <w:t xml:space="preserve">Baltic wind without LT/LV/EE split)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czech-republic</w:t>
      </w:r>
      <w:r>
        <w:t xml:space="preserve"> </w:t>
      </w:r>
      <w:r>
        <w:t xml:space="preserve">+70% (anchor</w:t>
      </w:r>
      <w:r>
        <w:t xml:space="preserve"> </w:t>
      </w:r>
      <w:r>
        <w:t xml:space="preserve">“&lt;0.1 TWh”</w:t>
      </w:r>
      <w:r>
        <w:t xml:space="preserve"> </w:t>
      </w:r>
      <w:r>
        <w:t xml:space="preserve">treated as 0.05</w:t>
      </w:r>
      <w:r>
        <w:t xml:space="preserve"> </w:t>
      </w:r>
      <w:r>
        <w:t xml:space="preserve">midpoint)</w:t>
      </w:r>
    </w:p>
    <w:p>
      <w:pPr>
        <w:pStyle w:val="FirstParagraph"/>
      </w:pPr>
      <w:r>
        <w:t xml:space="preserve">All six are explicit v1 recalibration candidates deferred from</w:t>
      </w:r>
      <w:r>
        <w:t xml:space="preserve"> </w:t>
      </w:r>
      <w:r>
        <w:t xml:space="preserve">this submission; each is named in the diagnostic table of</w:t>
      </w:r>
      <w:r>
        <w:t xml:space="preserve"> </w:t>
      </w:r>
      <w:r>
        <w:rPr>
          <w:rStyle w:val="VerbatimChar"/>
        </w:rPr>
        <w:t xml:space="preserve">docs/methodology/validation-discrepancies.md</w:t>
      </w:r>
      <w:r>
        <w:t xml:space="preserve">. Total material</w:t>
      </w:r>
      <w:r>
        <w:t xml:space="preserve"> </w:t>
      </w:r>
      <w:r>
        <w:t xml:space="preserve">regions: 4 scope + 1 definitional + 1 regime + 6 rate-calibration</w:t>
      </w:r>
      <w:r>
        <w:t xml:space="preserve"> </w:t>
      </w:r>
      <w:r>
        <w:t xml:space="preserve">= 12.</w:t>
      </w:r>
    </w:p>
    <w:bookmarkEnd w:id="48"/>
    <w:bookmarkEnd w:id="49"/>
    <w:bookmarkStart w:id="50" w:name="why-v0.5-does-not-re-calibrate"/>
    <w:p>
      <w:pPr>
        <w:pStyle w:val="Heading2"/>
      </w:pPr>
      <w:r>
        <w:t xml:space="preserve">4.4 Why v0.5 does not re-calibrate</w:t>
      </w:r>
    </w:p>
    <w:p>
      <w:pPr>
        <w:pStyle w:val="FirstParagraph"/>
      </w:pPr>
      <w:r>
        <w:t xml:space="preserve">Three reasons, each grounded in the integrity of what is published: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Archive byte-stability.</w:t>
      </w:r>
      <w:r>
        <w:t xml:space="preserve"> </w:t>
      </w:r>
      <w:r>
        <w:t xml:space="preserve">The 2.59 M-row</w:t>
      </w:r>
      <w:r>
        <w:t xml:space="preserve"> </w:t>
      </w:r>
      <w:r>
        <w:rPr>
          <w:rStyle w:val="VerbatimChar"/>
        </w:rPr>
        <w:t xml:space="preserve">curtailment_backfill.parquet</w:t>
      </w:r>
      <w:r>
        <w:t xml:space="preserve"> </w:t>
      </w:r>
      <w:r>
        <w:t xml:space="preserve">is the single reproducibility</w:t>
      </w:r>
      <w:r>
        <w:t xml:space="preserve"> </w:t>
      </w:r>
      <w:r>
        <w:t xml:space="preserve">artefact Figures 2, 3, and 5 all depend on. A rate change</w:t>
      </w:r>
      <w:r>
        <w:t xml:space="preserve"> </w:t>
      </w:r>
      <w:r>
        <w:t xml:space="preserve">triggers a 7-year × 29-region re-fan-out, invalidates every</w:t>
      </w:r>
      <w:r>
        <w:t xml:space="preserve"> </w:t>
      </w:r>
      <w:r>
        <w:t xml:space="preserve">committed per-region TWh total in</w:t>
      </w:r>
      <w:r>
        <w:t xml:space="preserve"> </w:t>
      </w:r>
      <w:r>
        <w:rPr>
          <w:rStyle w:val="VerbatimChar"/>
        </w:rPr>
        <w:t xml:space="preserve">per_region_annual.parquet</w:t>
      </w:r>
      <w:r>
        <w:t xml:space="preserve">,</w:t>
      </w:r>
      <w:r>
        <w:t xml:space="preserve"> </w:t>
      </w:r>
      <w:r>
        <w:t xml:space="preserve">and forces every</w:t>
      </w:r>
      <w:r>
        <w:t xml:space="preserve"> </w:t>
      </w:r>
      <w:r>
        <w:rPr>
          <w:rStyle w:val="VerbatimChar"/>
        </w:rPr>
        <w:t xml:space="preserve">docs/validation/*.md</w:t>
      </w:r>
      <w:r>
        <w:t xml:space="preserve"> </w:t>
      </w:r>
      <w:r>
        <w:t xml:space="preserve">table to be regenerated.</w:t>
      </w:r>
      <w:r>
        <w:t xml:space="preserve"> </w:t>
      </w:r>
      <w:r>
        <w:t xml:space="preserve">For a submission-phase Data Descriptor we value the byte-stable</w:t>
      </w:r>
      <w:r>
        <w:t xml:space="preserve"> </w:t>
      </w:r>
      <w:r>
        <w:t xml:space="preserve">artefact over a better-fitting rate.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Anchor-quality ceiling.</w:t>
      </w:r>
      <w:r>
        <w:t xml:space="preserve"> </w:t>
      </w:r>
      <w:r>
        <w:t xml:space="preserve">The largest gaps (Norway zones,</w:t>
      </w:r>
      <w:r>
        <w:t xml:space="preserve"> </w:t>
      </w:r>
      <w:r>
        <w:t xml:space="preserve">iso-ne, Germany, Iberia) reflect</w:t>
      </w:r>
      <w:r>
        <w:t xml:space="preserve"> </w:t>
      </w:r>
      <w:r>
        <w:rPr>
          <w:b/>
          <w:bCs/>
        </w:rPr>
        <w:t xml:space="preserve">scope or definitional</w:t>
      </w:r>
      <w:r>
        <w:rPr>
          <w:b/>
          <w:bCs/>
        </w:rPr>
        <w:t xml:space="preserve"> </w:t>
      </w:r>
      <w:r>
        <w:rPr>
          <w:b/>
          <w:bCs/>
        </w:rPr>
        <w:t xml:space="preserve">mismatches</w:t>
      </w:r>
      <w:r>
        <w:t xml:space="preserve"> </w:t>
      </w:r>
      <w:r>
        <w:t xml:space="preserve">between our hourly rate-model and the anchor’s</w:t>
      </w:r>
      <w:r>
        <w:t xml:space="preserve"> </w:t>
      </w:r>
      <w:r>
        <w:t xml:space="preserve">accounting concept, not arithmetic miscalibration. Changing the</w:t>
      </w:r>
      <w:r>
        <w:t xml:space="preserve"> </w:t>
      </w:r>
      <w:r>
        <w:t xml:space="preserve">rate would hide a real methodological divergence we want</w:t>
      </w:r>
      <w:r>
        <w:t xml:space="preserve"> </w:t>
      </w:r>
      <w:r>
        <w:t xml:space="preserve">reviewers to see.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Envelope transparency.</w:t>
      </w:r>
      <w:r>
        <w:t xml:space="preserve"> </w:t>
      </w:r>
      <w:r>
        <w:t xml:space="preserve">The ±15% T1a envelope is a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for where the rate-model converges on an own-jurisdiction anchor,</w:t>
      </w:r>
      <w:r>
        <w:t xml:space="preserve"> </w:t>
      </w:r>
      <w:r>
        <w:t xml:space="preserve">not a claim that every region lies within it. T1b zones carry a</w:t>
      </w:r>
      <w:r>
        <w:t xml:space="preserve"> </w:t>
      </w:r>
      <w:r>
        <w:t xml:space="preserve">±50% empirical envelope; T1c carries ±35.5%. The 4 rule-green</w:t>
      </w:r>
      <w:r>
        <w:t xml:space="preserve"> </w:t>
      </w:r>
      <w:r>
        <w:t xml:space="preserve">points (ercot-east, ercot-west, nyiso, poland) are identified</w:t>
      </w:r>
      <w:r>
        <w:t xml:space="preserve"> </w:t>
      </w:r>
      <w:r>
        <w:t xml:space="preserve">and counted; the 12 material points each carry a per-region</w:t>
      </w:r>
      <w:r>
        <w:t xml:space="preserve"> </w:t>
      </w:r>
      <w:r>
        <w:t xml:space="preserve">diagnosis.</w:t>
      </w:r>
    </w:p>
    <w:p>
      <w:pPr>
        <w:pStyle w:val="FirstParagraph"/>
      </w:pPr>
      <w:r>
        <w:t xml:space="preserve">The v1 recalibration roadmap is five concrete items listed in</w:t>
      </w:r>
      <w:r>
        <w:t xml:space="preserve"> </w:t>
      </w:r>
      <w:r>
        <w:rPr>
          <w:rStyle w:val="VerbatimChar"/>
        </w:rPr>
        <w:t xml:space="preserve">docs/methodology/validation-discrepancies.md §"v1 candidates"</w:t>
      </w:r>
      <w:r>
        <w:t xml:space="preserve">.</w:t>
      </w:r>
    </w:p>
    <w:bookmarkEnd w:id="50"/>
    <w:bookmarkStart w:id="51" w:name="tier-coverage-visualisation-figure-4"/>
    <w:p>
      <w:pPr>
        <w:pStyle w:val="Heading2"/>
      </w:pPr>
      <w:r>
        <w:t xml:space="preserve">4.5 Tier coverage visualisation (Figure 4)</w:t>
      </w:r>
    </w:p>
    <w:p>
      <w:pPr>
        <w:pStyle w:val="FirstParagraph"/>
      </w:pPr>
      <w:r>
        <w:t xml:space="preserve">Figure 4 answers the single-glance question</w:t>
      </w:r>
      <w:r>
        <w:t xml:space="preserve"> </w:t>
      </w:r>
      <w:r>
        <w:t xml:space="preserve">“where is the dataset</w:t>
      </w:r>
      <w:r>
        <w:t xml:space="preserve"> </w:t>
      </w:r>
      <w:r>
        <w:t xml:space="preserve">strong and where is it weak?”</w:t>
      </w:r>
      <w:r>
        <w:t xml:space="preserve"> </w:t>
      </w:r>
      <w:r>
        <w:t xml:space="preserve">at geographic scale. Each of the 384</w:t>
      </w:r>
      <w:r>
        <w:t xml:space="preserve"> </w:t>
      </w:r>
      <w:r>
        <w:t xml:space="preserve">regions renders as a tier-coloured dot: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T1a-live-tso (152 regions, teal).</w:t>
      </w:r>
      <w:r>
        <w:t xml:space="preserve"> </w:t>
      </w:r>
      <w:r>
        <w:t xml:space="preserve">Live hourly feed + own-</w:t>
      </w:r>
      <w:r>
        <w:t xml:space="preserve"> </w:t>
      </w:r>
      <w:r>
        <w:t xml:space="preserve">jurisdiction calibration rate, split per-fuel (wind/solar)</w:t>
      </w:r>
      <w:r>
        <w:t xml:space="preserve"> </w:t>
      </w:r>
      <w:r>
        <w:t xml:space="preserve">where the upstream feed exposes generation by source. Dense</w:t>
      </w:r>
      <w:r>
        <w:t xml:space="preserve"> </w:t>
      </w:r>
      <w:r>
        <w:t xml:space="preserve">over North America (EIA + ERCOT + CAISO sub-zones, IESO,</w:t>
      </w:r>
      <w:r>
        <w:t xml:space="preserve"> </w:t>
      </w:r>
      <w:r>
        <w:t xml:space="preserve">AESO), Europe (ENTSO-E zones split per-fuel; Elexon GB</w:t>
      </w:r>
      <w:r>
        <w:t xml:space="preserve"> </w:t>
      </w:r>
      <w:r>
        <w:t xml:space="preserve">per-fuel; RTE; Energinet; Elia; Statnett Norway per-fuel; Nord</w:t>
      </w:r>
      <w:r>
        <w:t xml:space="preserve"> </w:t>
      </w:r>
      <w:r>
        <w:t xml:space="preserve">Pool; Enemalta Malta), the Nordics, Australia (AEMO five</w:t>
      </w:r>
      <w:r>
        <w:t xml:space="preserve"> </w:t>
      </w:r>
      <w:r>
        <w:t xml:space="preserve">states + AEMO WEM/WA-SWIS), Brazil (eleven ONS states),</w:t>
      </w:r>
      <w:r>
        <w:t xml:space="preserve"> </w:t>
      </w:r>
      <w:r>
        <w:t xml:space="preserve">Turkey (EPİAŞ per-fuel), New Zealand (EMI per-fuel), Chile</w:t>
      </w:r>
      <w:r>
        <w:t xml:space="preserve"> </w:t>
      </w:r>
      <w:r>
        <w:t xml:space="preserve">(CEN), Uruguay (ADME), ten Japan utilities, and six India</w:t>
      </w:r>
      <w:r>
        <w:t xml:space="preserve"> </w:t>
      </w:r>
      <w:r>
        <w:t xml:space="preserve">state SLDCs. The EIA + ENTSO-E + AEMO + ONS quartet is the</w:t>
      </w:r>
      <w:r>
        <w:t xml:space="preserve"> </w:t>
      </w:r>
      <w:r>
        <w:t xml:space="preserve">dataset’s strongest spine.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T1b-live-domestic-anchored (9 regions, teal).</w:t>
      </w:r>
      <w:r>
        <w:t xml:space="preserve"> </w:t>
      </w:r>
      <w:r>
        <w:t xml:space="preserve">Italy-</w:t>
      </w:r>
      <w:r>
        <w:t xml:space="preserve"> </w:t>
      </w:r>
      <w:r>
        <w:t xml:space="preserve">Sardinia (wind+solar), Italy-North-Zone (wind+solar),</w:t>
      </w:r>
      <w:r>
        <w:t xml:space="preserve"> </w:t>
      </w:r>
      <w:r>
        <w:t xml:space="preserve">Italy-Sicily (wind+solar), Netherlands (wind+solar), and</w:t>
      </w:r>
      <w:r>
        <w:t xml:space="preserve"> </w:t>
      </w:r>
      <w:r>
        <w:t xml:space="preserve">Colombia (XM API) — live feeds paired with a</w:t>
      </w:r>
      <w:r>
        <w:t xml:space="preserve"> </w:t>
      </w:r>
      <w:r>
        <w:t xml:space="preserve">domestic-stat-agency, modelled-share, or national-anchor rate;</w:t>
      </w:r>
      <w:r>
        <w:t xml:space="preserve"> </w:t>
      </w:r>
      <w:r>
        <w:t xml:space="preserve">±50% empirical envelope.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T1c-live-neighbour-anchored (1 region, teal).</w:t>
      </w:r>
      <w:r>
        <w:t xml:space="preserve"> </w:t>
      </w:r>
      <w:r>
        <w:t xml:space="preserve">Switzerland —</w:t>
      </w:r>
      <w:r>
        <w:t xml:space="preserve"> </w:t>
      </w:r>
      <w:r>
        <w:t xml:space="preserve">Swissgrid live feed against the Czech CEPS rate as a neighbouring</w:t>
      </w:r>
      <w:r>
        <w:t xml:space="preserve"> </w:t>
      </w:r>
      <w:r>
        <w:t xml:space="preserve">proxy; ±35.5% empirical envelope.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T2-annual-calibrated (6 regions, amber).</w:t>
      </w:r>
      <w:r>
        <w:t xml:space="preserve"> </w:t>
      </w:r>
      <w:r>
        <w:t xml:space="preserve">Austria APG,</w:t>
      </w:r>
      <w:r>
        <w:t xml:space="preserve"> </w:t>
      </w:r>
      <w:r>
        <w:t xml:space="preserve">Russia Murmansk wind, and four Chinese hydro provinces (Hunan,</w:t>
      </w:r>
      <w:r>
        <w:t xml:space="preserve"> </w:t>
      </w:r>
      <w:r>
        <w:t xml:space="preserve">Hubei, Guizhou, Chongqing) — flat-base proxies built on a</w:t>
      </w:r>
      <w:r>
        <w:t xml:space="preserve"> </w:t>
      </w:r>
      <w:r>
        <w:t xml:space="preserve">published annual without diurnal modelling.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T2 flare (8 regions, brown square).</w:t>
      </w:r>
      <w:r>
        <w:t xml:space="preserve"> </w:t>
      </w:r>
      <w:r>
        <w:t xml:space="preserve">Permian, West Siberia,</w:t>
      </w:r>
      <w:r>
        <w:t xml:space="preserve"> </w:t>
      </w:r>
      <w:r>
        <w:t xml:space="preserve">South Iraq, East Saudi Arabia, Qatar, Kuwait, Russia Yamal-</w:t>
      </w:r>
      <w:r>
        <w:t xml:space="preserve"> </w:t>
      </w:r>
      <w:r>
        <w:t xml:space="preserve">Nenets, Russia East Siberia — correctly flat 24/7 baseload.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T3-modelled (205 regions, terracotta).</w:t>
      </w:r>
      <w:r>
        <w:t xml:space="preserve"> </w:t>
      </w:r>
      <w:r>
        <w:t xml:space="preserve">Static annual anchors</w:t>
      </w:r>
      <w:r>
        <w:t xml:space="preserve"> </w:t>
      </w:r>
      <w:r>
        <w:t xml:space="preserve">(Ember, IRENA, regulator reports) combined with a typical diurnal</w:t>
      </w:r>
      <w:r>
        <w:t xml:space="preserve"> </w:t>
      </w:r>
      <w:r>
        <w:t xml:space="preserve">or monthly-seasonal shape. Covers Ireland (Republic + Northern,</w:t>
      </w:r>
      <w:r>
        <w:t xml:space="preserve"> </w:t>
      </w:r>
      <w:r>
        <w:t xml:space="preserve">EirGrid reachability probe scaled to the SONI/EirGrid 2024</w:t>
      </w:r>
      <w:r>
        <w:t xml:space="preserve"> </w:t>
      </w:r>
      <w:r>
        <w:t xml:space="preserve">all-island anchor), Peru and South Africa (Eskom / COES</w:t>
      </w:r>
      <w:r>
        <w:t xml:space="preserve"> </w:t>
      </w:r>
      <w:r>
        <w:t xml:space="preserve">reachability probes scaled to published annuals), most of</w:t>
      </w:r>
      <w:r>
        <w:t xml:space="preserve"> </w:t>
      </w:r>
      <w:r>
        <w:t xml:space="preserve">South Asia, Africa, the Middle East outside flare, Latin America</w:t>
      </w:r>
      <w:r>
        <w:t xml:space="preserve"> </w:t>
      </w:r>
      <w:r>
        <w:t xml:space="preserve">outside Brazil/Atacama, 27 Chinese provinces, and the</w:t>
      </w:r>
      <w:r>
        <w:t xml:space="preserve"> </w:t>
      </w:r>
      <w:r>
        <w:t xml:space="preserve">Hawaii islands.</w:t>
      </w:r>
    </w:p>
    <w:p>
      <w:pPr>
        <w:pStyle w:val="FirstParagraph"/>
      </w:pPr>
      <w:r>
        <w:t xml:space="preserve">Tier assignment is deterministic from</w:t>
      </w:r>
      <w:r>
        <w:t xml:space="preserve"> </w:t>
      </w:r>
      <w:r>
        <w:rPr>
          <w:rStyle w:val="VerbatimChar"/>
        </w:rPr>
        <w:t xml:space="preserve">Region.tier</w:t>
      </w:r>
      <w:r>
        <w:t xml:space="preserve"> </w:t>
      </w:r>
      <w:r>
        <w:t xml:space="preserve">plus the loader</w:t>
      </w:r>
      <w:r>
        <w:t xml:space="preserve"> </w:t>
      </w:r>
      <w:r>
        <w:t xml:space="preserve">profileKind (code-level truth:</w:t>
      </w:r>
      <w:r>
        <w:t xml:space="preserve"> </w:t>
      </w:r>
      <w:r>
        <w:rPr>
          <w:rStyle w:val="VerbatimChar"/>
        </w:rPr>
        <w:t xml:space="preserve">src/lib/uncertainty.ts::deriveTier</w:t>
      </w:r>
      <w:r>
        <w:t xml:space="preserve">).</w:t>
      </w:r>
      <w:r>
        <w:t xml:space="preserve"> </w:t>
      </w:r>
      <w:r>
        <w:t xml:space="preserve">Live counts are emitted by</w:t>
      </w:r>
      <w:r>
        <w:t xml:space="preserve"> </w:t>
      </w:r>
      <w:r>
        <w:rPr>
          <w:rStyle w:val="VerbatimChar"/>
        </w:rPr>
        <w:t xml:space="preserve">scripts/tally-tiers.ts</w:t>
      </w:r>
      <w:r>
        <w:t xml:space="preserve">, which any</w:t>
      </w:r>
      <w:r>
        <w:t xml:space="preserve"> </w:t>
      </w:r>
      <w:r>
        <w:t xml:space="preserve">reviewer can run to confirm the figure values from the source of</w:t>
      </w:r>
      <w:r>
        <w:t xml:space="preserve"> </w:t>
      </w:r>
      <w:r>
        <w:t xml:space="preserve">truth in</w:t>
      </w:r>
      <w:r>
        <w:t xml:space="preserve"> </w:t>
      </w:r>
      <w:r>
        <w:rPr>
          <w:rStyle w:val="VerbatimChar"/>
        </w:rPr>
        <w:t xml:space="preserve">src/lib/regions.ts</w:t>
      </w:r>
      <w:r>
        <w:t xml:space="preserve">.</w:t>
      </w:r>
    </w:p>
    <w:bookmarkEnd w:id="51"/>
    <w:bookmarkStart w:id="52" w:name="seven-year-temporal-trace-figure-3"/>
    <w:p>
      <w:pPr>
        <w:pStyle w:val="Heading2"/>
      </w:pPr>
      <w:r>
        <w:t xml:space="preserve">4.6 Seven-year temporal trace (Figure 3)</w:t>
      </w:r>
    </w:p>
    <w:p>
      <w:pPr>
        <w:pStyle w:val="FirstParagraph"/>
      </w:pPr>
      <w:r>
        <w:t xml:space="preserve">Figure 3 collapses the 2.59M-row backfill into a daily global</w:t>
      </w:r>
      <w:r>
        <w:t xml:space="preserve"> </w:t>
      </w:r>
      <w:r>
        <w:t xml:space="preserve">sum (GWh/day) stacked by source platform (ENTSO-E vs. EIA) over</w:t>
      </w:r>
      <w:r>
        <w:t xml:space="preserve"> </w:t>
      </w:r>
      <w:r>
        <w:t xml:space="preserve">2020-01-01 → 2026-04-24. Archive total:</w:t>
      </w:r>
      <w:r>
        <w:t xml:space="preserve"> </w:t>
      </w:r>
      <w:r>
        <w:rPr>
          <w:b/>
          <w:bCs/>
        </w:rPr>
        <w:t xml:space="preserve">320.7 TWh</w:t>
      </w:r>
      <w:r>
        <w:t xml:space="preserve"> </w:t>
      </w:r>
      <w:r>
        <w:t xml:space="preserve">across 2,306</w:t>
      </w:r>
      <w:r>
        <w:t xml:space="preserve"> </w:t>
      </w:r>
      <w:r>
        <w:t xml:space="preserve">days.</w:t>
      </w:r>
    </w:p>
    <w:p>
      <w:pPr>
        <w:pStyle w:val="BodyText"/>
      </w:pPr>
      <w:r>
        <w:t xml:space="preserve">The trace corroborates three methodology points: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Scale realism.</w:t>
      </w:r>
      <w:r>
        <w:t xml:space="preserve"> </w:t>
      </w:r>
      <w:r>
        <w:t xml:space="preserve">The 2024 integrated total (≈ 61 TWh across</w:t>
      </w:r>
      <w:r>
        <w:t xml:space="preserve"> </w:t>
      </w:r>
      <w:r>
        <w:t xml:space="preserve">backfilled regions) is within an order of magnitude of published</w:t>
      </w:r>
      <w:r>
        <w:t xml:space="preserve"> </w:t>
      </w:r>
      <w:r>
        <w:t xml:space="preserve">global-curtailment estimates (IRENA 2025, Ember State-of-the-</w:t>
      </w:r>
      <w:r>
        <w:t xml:space="preserve"> </w:t>
      </w:r>
      <w:r>
        <w:t xml:space="preserve">Grid 2024 place the global total at ~80–120 TWh, inclusive of</w:t>
      </w:r>
      <w:r>
        <w:t xml:space="preserve"> </w:t>
      </w:r>
      <w:r>
        <w:t xml:space="preserve">un-tracked regions). Our backfill does not attempt to</w:t>
      </w:r>
      <w:r>
        <w:t xml:space="preserve"> </w:t>
      </w:r>
      <w:r>
        <w:t xml:space="preserve">extrapolate to un-tracked regions.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Regime-change visibility.</w:t>
      </w:r>
      <w:r>
        <w:t xml:space="preserve"> </w:t>
      </w:r>
      <w:r>
        <w:t xml:space="preserve">The October 2021 Germany</w:t>
      </w:r>
      <w:r>
        <w:t xml:space="preserve"> </w:t>
      </w:r>
      <w:r>
        <w:t xml:space="preserve">Redispatch 2.0 accounting switch produces a step change</w:t>
      </w:r>
      <w:r>
        <w:t xml:space="preserve"> </w:t>
      </w:r>
      <w:r>
        <w:t xml:space="preserve">visible on the trace, supporting the documented regime-change</w:t>
      </w:r>
      <w:r>
        <w:t xml:space="preserve"> </w:t>
      </w:r>
      <w:r>
        <w:t xml:space="preserve">diagnosis for the</w:t>
      </w:r>
      <w:r>
        <w:t xml:space="preserve"> </w:t>
      </w:r>
      <w:r>
        <w:rPr>
          <w:rStyle w:val="VerbatimChar"/>
        </w:rPr>
        <w:t xml:space="preserve">germany</w:t>
      </w:r>
      <w:r>
        <w:t xml:space="preserve"> </w:t>
      </w:r>
      <w:r>
        <w:t xml:space="preserve">−59% anchor gap.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Post-2022 super-linear growth.</w:t>
      </w:r>
      <w:r>
        <w:t xml:space="preserve"> </w:t>
      </w:r>
      <w:r>
        <w:t xml:space="preserve">The 30-day rolling mean</w:t>
      </w:r>
      <w:r>
        <w:t xml:space="preserve"> </w:t>
      </w:r>
      <w:r>
        <w:t xml:space="preserve">grows faster than solar capacity additions alone would predict,</w:t>
      </w:r>
      <w:r>
        <w:t xml:space="preserve"> </w:t>
      </w:r>
      <w:r>
        <w:t xml:space="preserve">supporting the paper’s headline empirical claim that curtailment</w:t>
      </w:r>
      <w:r>
        <w:t xml:space="preserve"> </w:t>
      </w:r>
      <w:r>
        <w:t xml:space="preserve">scales super-linearly with solar deployment in</w:t>
      </w:r>
      <w:r>
        <w:t xml:space="preserve"> </w:t>
      </w:r>
      <w:r>
        <w:t xml:space="preserve">transmission-constrained systems.</w:t>
      </w:r>
    </w:p>
    <w:bookmarkEnd w:id="52"/>
    <w:bookmarkStart w:id="53" w:name="top-20-timeseries-figure-5"/>
    <w:p>
      <w:pPr>
        <w:pStyle w:val="Heading2"/>
      </w:pPr>
      <w:r>
        <w:t xml:space="preserve">4.7 Top-20 timeseries (Figure 5)</w:t>
      </w:r>
    </w:p>
    <w:p>
      <w:pPr>
        <w:pStyle w:val="FirstParagraph"/>
      </w:pPr>
      <w:r>
        <w:t xml:space="preserve">Figure 5 ranks the 29 backfilled regions by mean annual TWh</w:t>
      </w:r>
      <w:r>
        <w:t xml:space="preserve"> </w:t>
      </w:r>
      <w:r>
        <w:t xml:space="preserve">across 2020–2026 and plots the top 20 as a 4×5 facet grid. The</w:t>
      </w:r>
      <w:r>
        <w:t xml:space="preserve"> </w:t>
      </w:r>
      <w:r>
        <w:t xml:space="preserve">narrative payoff — the paper’s</w:t>
      </w:r>
      <w:r>
        <w:t xml:space="preserve"> </w:t>
      </w:r>
      <w:r>
        <w:t xml:space="preserve">“curtailment is concentrated”</w:t>
      </w:r>
      <w:r>
        <w:t xml:space="preserve"> </w:t>
      </w:r>
      <w:r>
        <w:t xml:space="preserve">thesis — is visible in the data: the top 3 regions (Germany,</w:t>
      </w:r>
      <w:r>
        <w:t xml:space="preserve"> </w:t>
      </w:r>
      <w:r>
        <w:t xml:space="preserve">Iberia, MISO) account for ~51% of the combined top-20 total.</w:t>
      </w:r>
      <w:r>
        <w:t xml:space="preserve"> </w:t>
      </w:r>
      <w:r>
        <w:t xml:space="preserve">Every panel is a live-feed sub-tier in v0.5 (teal) — predominantly</w:t>
      </w:r>
      <w:r>
        <w:t xml:space="preserve"> </w:t>
      </w:r>
      <w:r>
        <w:t xml:space="preserve">T1a-live-tso, with Italy-Sardinia, Italy-North-Zone, and Switzerland</w:t>
      </w:r>
      <w:r>
        <w:t xml:space="preserve"> </w:t>
      </w:r>
      <w:r>
        <w:t xml:space="preserve">sitting at T1b/T1c where their bidding-zone calibration provenance</w:t>
      </w:r>
      <w:r>
        <w:t xml:space="preserve"> </w:t>
      </w:r>
      <w:r>
        <w:t xml:space="preserve">applies. Tier-colour infrastructure is in place for v1</w:t>
      </w:r>
      <w:r>
        <w:t xml:space="preserve"> </w:t>
      </w:r>
      <w:r>
        <w:t xml:space="preserve">rate-recalibrations that may promote T2 regions into the top tier.</w:t>
      </w:r>
    </w:p>
    <w:bookmarkEnd w:id="53"/>
    <w:bookmarkStart w:id="54" w:name="current-snapshot-validation-figure-1"/>
    <w:p>
      <w:pPr>
        <w:pStyle w:val="Heading2"/>
      </w:pPr>
      <w:r>
        <w:t xml:space="preserve">4.8 Current-snapshot validation (Figure 1)</w:t>
      </w:r>
    </w:p>
    <w:p>
      <w:pPr>
        <w:pStyle w:val="FirstParagraph"/>
      </w:pPr>
      <w:r>
        <w:t xml:space="preserve">Figure 1 is the geographic opening shot. 110 of 384 regions have</w:t>
      </w:r>
      <w:r>
        <w:t xml:space="preserve"> </w:t>
      </w:r>
      <w:r>
        <w:t xml:space="preserve">a current peak-GW reading; the remainder are static regions</w:t>
      </w:r>
      <w:r>
        <w:t xml:space="preserve"> </w:t>
      </w:r>
      <w:r>
        <w:t xml:space="preserve">without a live fetch yet. Dot area scales with √peakGW so a 10 GW</w:t>
      </w:r>
      <w:r>
        <w:t xml:space="preserve"> </w:t>
      </w:r>
      <w:r>
        <w:t xml:space="preserve">hotspot is roughly 3× the visible area of a 1 GW region. The</w:t>
      </w:r>
      <w:r>
        <w:t xml:space="preserve"> </w:t>
      </w:r>
      <w:r>
        <w:t xml:space="preserve">top-8 regions by peak GW at render time are labelled; the</w:t>
      </w:r>
      <w:r>
        <w:t xml:space="preserve"> </w:t>
      </w:r>
      <w:r>
        <w:t xml:space="preserve">Brazilian wind-and-solar cluster (Minas Gerais in the Southeast</w:t>
      </w:r>
      <w:r>
        <w:t xml:space="preserve"> </w:t>
      </w:r>
      <w:r>
        <w:t xml:space="preserve">plus the Northeastern states Bahia, Rio Grande do Norte, and</w:t>
      </w:r>
      <w:r>
        <w:t xml:space="preserve"> </w:t>
      </w:r>
      <w:r>
        <w:t xml:space="preserve">Piauí) dominates the current picture, followed by the US MISO</w:t>
      </w:r>
      <w:r>
        <w:t xml:space="preserve"> </w:t>
      </w:r>
      <w:r>
        <w:t xml:space="preserve">footprint, Vietnam, Germany, and north India. The specific</w:t>
      </w:r>
      <w:r>
        <w:t xml:space="preserve"> </w:t>
      </w:r>
      <w:r>
        <w:t xml:space="preserve">GW values are snapshot-dependent and refresh each dashboard build.</w:t>
      </w:r>
    </w:p>
    <w:p>
      <w:pPr>
        <w:pStyle w:val="BodyText"/>
      </w:pPr>
      <w:r>
        <w:t xml:space="preserve">The 120-region gap between</w:t>
      </w:r>
      <w:r>
        <w:t xml:space="preserve"> </w:t>
      </w:r>
      <w:r>
        <w:rPr>
          <w:rStyle w:val="VerbatimChar"/>
        </w:rPr>
        <w:t xml:space="preserve">src/lib/regions.ts</w:t>
      </w:r>
      <w:r>
        <w:t xml:space="preserve"> </w:t>
      </w:r>
      <w:r>
        <w:t xml:space="preserve">(241) and the</w:t>
      </w:r>
      <w:r>
        <w:t xml:space="preserve"> </w:t>
      </w:r>
      <w:r>
        <w:t xml:space="preserve">snapshot-count (113) is reported honestly on the figure: those</w:t>
      </w:r>
      <w:r>
        <w:t xml:space="preserve"> </w:t>
      </w:r>
      <w:r>
        <w:t xml:space="preserve">regions appear at minimum-size so the map shows full geographic</w:t>
      </w:r>
      <w:r>
        <w:t xml:space="preserve"> </w:t>
      </w:r>
      <w:r>
        <w:t xml:space="preserve">coverage without overclaiming live data.</w:t>
      </w:r>
    </w:p>
    <w:bookmarkEnd w:id="54"/>
    <w:bookmarkStart w:id="55" w:name="what-the-validation-does-not-cover"/>
    <w:p>
      <w:pPr>
        <w:pStyle w:val="Heading2"/>
      </w:pPr>
      <w:r>
        <w:t xml:space="preserve">4.9 What the validation does not cover</w:t>
      </w:r>
    </w:p>
    <w:p>
      <w:pPr>
        <w:pStyle w:val="FirstParagraph"/>
      </w:pPr>
      <w:r>
        <w:t xml:space="preserve">Explicitly out of scope for v0.5 technical validation: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Hour-level reconstruction accuracy.</w:t>
      </w:r>
      <w:r>
        <w:t xml:space="preserve"> </w:t>
      </w:r>
      <w:r>
        <w:t xml:space="preserve">Annual totals are</w:t>
      </w:r>
      <w:r>
        <w:t xml:space="preserve"> </w:t>
      </w:r>
      <w:r>
        <w:t xml:space="preserve">validated; hour-level accuracy is assumed constant within a</w:t>
      </w:r>
      <w:r>
        <w:t xml:space="preserve"> </w:t>
      </w:r>
      <w:r>
        <w:t xml:space="preserve">year (piecewise-constant rate). Where sub-annual reality</w:t>
      </w:r>
      <w:r>
        <w:t xml:space="preserve"> </w:t>
      </w:r>
      <w:r>
        <w:t xml:space="preserve">diverges materially (e.g., Q3-concentrated CAISO solar</w:t>
      </w:r>
      <w:r>
        <w:t xml:space="preserve"> </w:t>
      </w:r>
      <w:r>
        <w:t xml:space="preserve">curtailment), it is a known approximation, not a published</w:t>
      </w:r>
      <w:r>
        <w:t xml:space="preserve"> </w:t>
      </w:r>
      <w:r>
        <w:t xml:space="preserve">bound.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Pre-2020 reconstruction.</w:t>
      </w:r>
      <w:r>
        <w:t xml:space="preserve"> </w:t>
      </w:r>
      <w:r>
        <w:t xml:space="preserve">The backfill window starts</w:t>
      </w:r>
      <w:r>
        <w:t xml:space="preserve"> </w:t>
      </w:r>
      <w:r>
        <w:t xml:space="preserve">2020-01-01; pre-2020 reconstructions would require a</w:t>
      </w:r>
      <w:r>
        <w:t xml:space="preserve"> </w:t>
      </w:r>
      <w:r>
        <w:t xml:space="preserve">different rate regime (pre-IRA, pre-RePowerEU) and are</w:t>
      </w:r>
      <w:r>
        <w:t xml:space="preserve"> </w:t>
      </w:r>
      <w:r>
        <w:t xml:space="preserve">deferred to a v1</w:t>
      </w:r>
      <w:r>
        <w:t xml:space="preserve"> </w:t>
      </w:r>
      <w:r>
        <w:t xml:space="preserve">“historical-deep”</w:t>
      </w:r>
      <w:r>
        <w:t xml:space="preserve"> </w:t>
      </w:r>
      <w:r>
        <w:t xml:space="preserve">sprint.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Self-curtailment.</w:t>
      </w:r>
      <w:r>
        <w:t xml:space="preserve"> </w:t>
      </w:r>
      <w:r>
        <w:t xml:space="preserve">Asset owners throttling output in</w:t>
      </w:r>
      <w:r>
        <w:t xml:space="preserve"> </w:t>
      </w:r>
      <w:r>
        <w:t xml:space="preserve">response to negative prices do not appear in dispatch-down</w:t>
      </w:r>
      <w:r>
        <w:t xml:space="preserve"> </w:t>
      </w:r>
      <w:r>
        <w:t xml:space="preserve">statistics. Book research places the true total at 50–70% of</w:t>
      </w:r>
      <w:r>
        <w:t xml:space="preserve"> </w:t>
      </w:r>
      <w:r>
        <w:t xml:space="preserve">the invisible figure, but this is a blind-spot disclosure</w:t>
      </w:r>
      <w:r>
        <w:t xml:space="preserve"> </w:t>
      </w:r>
      <w:r>
        <w:t xml:space="preserve">(§5 Usage Notes), not a correction applied to the published</w:t>
      </w:r>
      <w:r>
        <w:t xml:space="preserve"> </w:t>
      </w:r>
      <w:r>
        <w:t xml:space="preserve">data.</w:t>
      </w:r>
    </w:p>
    <w:p>
      <w:pPr>
        <w:pStyle w:val="FirstParagraph"/>
      </w:pPr>
      <w:r>
        <w:t xml:space="preserve">All three are named disclosures, not silent assumptions.</w:t>
      </w:r>
    </w:p>
    <w:bookmarkEnd w:id="55"/>
    <w:bookmarkStart w:id="56" w:name="cross-references-1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data/historical/figure2_validation_scatter.csv</w:t>
      </w:r>
      <w:r>
        <w:t xml:space="preserve"> </w:t>
      </w:r>
      <w:r>
        <w:t xml:space="preserve">— machine-</w:t>
      </w:r>
      <w:r>
        <w:t xml:space="preserve"> </w:t>
      </w:r>
      <w:r>
        <w:t xml:space="preserve">readable scatter data.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docs/methodology/validation-discrepancies.md</w:t>
      </w:r>
      <w:r>
        <w:t xml:space="preserve"> </w:t>
      </w:r>
      <w:r>
        <w:t xml:space="preserve">— the single</w:t>
      </w:r>
      <w:r>
        <w:t xml:space="preserve"> </w:t>
      </w:r>
      <w:r>
        <w:t xml:space="preserve">reviewer-facing survey of every material discrepancy.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docs/validation/&lt;region&gt;.md</w:t>
      </w:r>
      <w:r>
        <w:t xml:space="preserve"> </w:t>
      </w:r>
      <w:r>
        <w:t xml:space="preserve">— per-region diagnostic prose.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scripts/validation/external-anchors.json</w:t>
      </w:r>
      <w:r>
        <w:t xml:space="preserve"> </w:t>
      </w:r>
      <w:r>
        <w:t xml:space="preserve">— anchor citation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17"/>
        </w:numPr>
      </w:pPr>
      <w:r>
        <w:t xml:space="preserve">Figures 2, 3, 4, 5:</w:t>
      </w:r>
      <w:r>
        <w:t xml:space="preserve"> </w:t>
      </w:r>
      <w:r>
        <w:rPr>
          <w:rStyle w:val="VerbatimChar"/>
        </w:rPr>
        <w:t xml:space="preserve">docs/figures/figure{2..5}_*.{pdf,png}</w:t>
      </w:r>
      <w:r>
        <w:t xml:space="preserve">.</w:t>
      </w:r>
    </w:p>
    <w:bookmarkEnd w:id="56"/>
    <w:bookmarkEnd w:id="57"/>
    <w:bookmarkStart w:id="71" w:name="usage-notes"/>
    <w:p>
      <w:pPr>
        <w:pStyle w:val="Heading1"/>
      </w:pPr>
      <w:r>
        <w:t xml:space="preserve">Usage Notes</w:t>
      </w:r>
    </w:p>
    <w:p>
      <w:pPr>
        <w:pStyle w:val="FirstParagraph"/>
      </w:pPr>
      <w:r>
        <w:rPr>
          <w:i/>
          <w:iCs/>
        </w:rPr>
        <w:t xml:space="preserve">Scientific Data Data Descriptor · Section 5 · Target length 500–1000</w:t>
      </w:r>
      <w:r>
        <w:rPr>
          <w:i/>
          <w:iCs/>
        </w:rPr>
        <w:t xml:space="preserve"> </w:t>
      </w:r>
      <w:r>
        <w:rPr>
          <w:i/>
          <w:iCs/>
        </w:rPr>
        <w:t xml:space="preserve">words.</w:t>
      </w:r>
    </w:p>
    <w:bookmarkStart w:id="61" w:name="loading-the-dataset"/>
    <w:p>
      <w:pPr>
        <w:pStyle w:val="Heading2"/>
      </w:pPr>
      <w:r>
        <w:t xml:space="preserve">5.1 Loading the dataset</w:t>
      </w:r>
    </w:p>
    <w:bookmarkStart w:id="58" w:name="python-pandas-pyarrow"/>
    <w:p>
      <w:pPr>
        <w:pStyle w:val="Heading3"/>
      </w:pPr>
      <w:r>
        <w:t xml:space="preserve">Python (pandas + pyarrow)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Seven-year backfill — 2.59M hourly rows, 29 T1 regions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"https://raw.githubusercontent.com/honeybeesquad/"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"every-last-joule-dashboard/v1.2.1/"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"data/historical/curtailment_backfill.parquet"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pd.read_parquet(url)</w:t>
      </w:r>
      <w:r>
        <w:br/>
      </w:r>
      <w:r>
        <w:br/>
      </w:r>
      <w:r>
        <w:rPr>
          <w:rStyle w:val="CommentTok"/>
        </w:rPr>
        <w:t xml:space="preserve"># Germany 2024 monthly totals</w:t>
      </w:r>
      <w:r>
        <w:br/>
      </w:r>
      <w:r>
        <w:rPr>
          <w:rStyle w:val="NormalTok"/>
        </w:rPr>
        <w:t xml:space="preserve">germany_2024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(df.query(</w:t>
      </w:r>
      <w:r>
        <w:rPr>
          <w:rStyle w:val="StringTok"/>
        </w:rPr>
        <w:t xml:space="preserve">"region_id == 'germany' and 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"observation_timestamp &gt;= '2024-01-01' and 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"observation_timestamp &lt; '2025-01-01'"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.assign(month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d: d.observation_timestamp.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.groupby(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"curtailment_gw"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</w:t>
      </w:r>
    </w:p>
    <w:bookmarkEnd w:id="58"/>
    <w:bookmarkStart w:id="59" w:name="python-duckdb-no-load-into-memory"/>
    <w:p>
      <w:pPr>
        <w:pStyle w:val="Heading3"/>
      </w:pPr>
      <w:r>
        <w:t xml:space="preserve">Python (DuckDB, no load into memory)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duckdb</w:t>
      </w:r>
      <w:r>
        <w:br/>
      </w:r>
      <w:r>
        <w:rPr>
          <w:rStyle w:val="NormalTok"/>
        </w:rPr>
        <w:t xml:space="preserve">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region_id, year(observation_timestamp) AS year,</w:t>
      </w:r>
      <w:r>
        <w:br/>
      </w:r>
      <w:r>
        <w:rPr>
          <w:rStyle w:val="StringTok"/>
        </w:rPr>
        <w:t xml:space="preserve">           SUM(curtailment_gw) / 1000.0 AS annual_twh</w:t>
      </w:r>
      <w:r>
        <w:br/>
      </w:r>
      <w:r>
        <w:rPr>
          <w:rStyle w:val="StringTok"/>
        </w:rPr>
        <w:t xml:space="preserve">    FROM read_parquet('curtailment_backfill.parquet')</w:t>
      </w:r>
      <w:r>
        <w:br/>
      </w:r>
      <w:r>
        <w:rPr>
          <w:rStyle w:val="StringTok"/>
        </w:rPr>
        <w:t xml:space="preserve">    WHERE year(observation_timestamp) = 2024</w:t>
      </w:r>
      <w:r>
        <w:br/>
      </w:r>
      <w:r>
        <w:rPr>
          <w:rStyle w:val="StringTok"/>
        </w:rPr>
        <w:t xml:space="preserve">    GROUP BY region_id, year</w:t>
      </w:r>
      <w:r>
        <w:br/>
      </w:r>
      <w:r>
        <w:rPr>
          <w:rStyle w:val="StringTok"/>
        </w:rPr>
        <w:t xml:space="preserve">    ORDER BY annual_twh DESC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).df()</w:t>
      </w:r>
    </w:p>
    <w:bookmarkEnd w:id="59"/>
    <w:bookmarkStart w:id="60" w:name="X1d17925f4f16ffd34d1f4d95370f9c2118bc9fb"/>
    <w:p>
      <w:pPr>
        <w:pStyle w:val="Heading3"/>
      </w:pPr>
      <w:r>
        <w:t xml:space="preserve">Single-region snapshot (Python stdlib only)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urllib.request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"https://raw.githubusercontent.com/honeybeesquad/"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"every-last-joule-dashboard/v1.2.1/"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"data/snapshots/last-good/caiso.json"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json.load(urllib.request.urlopen(url))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f"CAISO peak GW: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snap[</w:t>
      </w:r>
      <w:r>
        <w:rPr>
          <w:rStyle w:val="StringTok"/>
        </w:rPr>
        <w:t xml:space="preserve">'peakGW'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f"(tier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snap[</w:t>
      </w:r>
      <w:r>
        <w:rPr>
          <w:rStyle w:val="StringTok"/>
        </w:rPr>
        <w:t xml:space="preserve">'confidenceTier'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(snap[</w:t>
      </w:r>
      <w:r>
        <w:rPr>
          <w:rStyle w:val="StringTok"/>
        </w:rPr>
        <w:t xml:space="preserve">'uncertaintyHighGW'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snap[</w:t>
      </w:r>
      <w:r>
        <w:rPr>
          <w:rStyle w:val="StringTok"/>
        </w:rPr>
        <w:t xml:space="preserve">'peakGW'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GW)"</w:t>
      </w:r>
      <w:r>
        <w:rPr>
          <w:rStyle w:val="NormalTok"/>
        </w:rPr>
        <w:t xml:space="preserve">)</w:t>
      </w:r>
    </w:p>
    <w:bookmarkEnd w:id="60"/>
    <w:bookmarkEnd w:id="61"/>
    <w:bookmarkStart w:id="62" w:name="understanding-the-confidence-tier"/>
    <w:p>
      <w:pPr>
        <w:pStyle w:val="Heading2"/>
      </w:pPr>
      <w:r>
        <w:t xml:space="preserve">5.2 Understanding the confidence tier</w:t>
      </w:r>
    </w:p>
    <w:p>
      <w:pPr>
        <w:pStyle w:val="FirstParagraph"/>
      </w:pPr>
      <w:r>
        <w:t xml:space="preserve">Before using a region’s values, check its</w:t>
      </w:r>
      <w:r>
        <w:t xml:space="preserve"> </w:t>
      </w:r>
      <w:r>
        <w:rPr>
          <w:rStyle w:val="VerbatimChar"/>
        </w:rPr>
        <w:t xml:space="preserve">confidenceTier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Envelope</w:t>
            </w:r>
          </w:p>
        </w:tc>
        <w:tc>
          <w:tcPr/>
          <w:p>
            <w:pPr>
              <w:pStyle w:val="Compact"/>
            </w:pPr>
            <w:r>
              <w:t xml:space="preserve">Treatment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T1a-live-tso</w:t>
            </w:r>
          </w:p>
        </w:tc>
        <w:tc>
          <w:tcPr/>
          <w:p>
            <w:pPr>
              <w:pStyle w:val="Compact"/>
            </w:pPr>
            <w:r>
              <w:t xml:space="preserve">±15% (or 2σ where backfill ≥ 3 yrs)</w:t>
            </w:r>
          </w:p>
        </w:tc>
        <w:tc>
          <w:tcPr/>
          <w:p>
            <w:pPr>
              <w:pStyle w:val="Compact"/>
            </w:pPr>
            <w:r>
              <w:t xml:space="preserve">Live hourly feed + own-jurisdiction calibration rate (TSO/regulator). Defensible for most analyses; see per-region validation MD for any scope mismatch.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T1b-live-domestic-anchored</w:t>
            </w:r>
          </w:p>
        </w:tc>
        <w:tc>
          <w:tcPr/>
          <w:p>
            <w:pPr>
              <w:pStyle w:val="Compact"/>
            </w:pPr>
            <w:r>
              <w:t xml:space="preserve">±50% (empirical)</w:t>
            </w:r>
          </w:p>
        </w:tc>
        <w:tc>
          <w:tcPr/>
          <w:p>
            <w:pPr>
              <w:pStyle w:val="Compact"/>
            </w:pPr>
            <w:r>
              <w:t xml:space="preserve">Live feed + domestic-stat-agency or modelled-share rate. Italy-Sardinia, Italy-North-Zone, Netherlands, Baltics. Use with anchor-aware caveats.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T1c-live-neighbour-anchored</w:t>
            </w:r>
          </w:p>
        </w:tc>
        <w:tc>
          <w:tcPr/>
          <w:p>
            <w:pPr>
              <w:pStyle w:val="Compact"/>
            </w:pPr>
            <w:r>
              <w:t xml:space="preserve">±35.5% (empirical)</w:t>
            </w:r>
          </w:p>
        </w:tc>
        <w:tc>
          <w:tcPr/>
          <w:p>
            <w:pPr>
              <w:pStyle w:val="Compact"/>
            </w:pPr>
            <w:r>
              <w:t xml:space="preserve">Live feed + rate extrapolated from neighbouring zone. Switzerland (Czech CEPS rate).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T2-annual-calibrated</w:t>
            </w:r>
          </w:p>
        </w:tc>
        <w:tc>
          <w:tcPr/>
          <w:p>
            <w:pPr>
              <w:pStyle w:val="Compact"/>
            </w:pPr>
            <w:r>
              <w:t xml:space="preserve">±20%</w:t>
            </w:r>
          </w:p>
        </w:tc>
        <w:tc>
          <w:tcPr/>
          <w:p>
            <w:pPr>
              <w:pStyle w:val="Compact"/>
            </w:pPr>
            <w:r>
              <w:t xml:space="preserve">Annual total is anchored; hourly shape is reconstructed from live generation × rate. Defensible for annual totals, use with caution at hour level.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T2 flare</w:t>
            </w:r>
          </w:p>
        </w:tc>
        <w:tc>
          <w:tcPr/>
          <w:p>
            <w:pPr>
              <w:pStyle w:val="Compact"/>
            </w:pPr>
            <w:r>
              <w:t xml:space="preserve">±20%, flat 24/7</w:t>
            </w:r>
          </w:p>
        </w:tc>
        <w:tc>
          <w:tcPr/>
          <w:p>
            <w:pPr>
              <w:pStyle w:val="Compact"/>
            </w:pPr>
            <w:r>
              <w:t xml:space="preserve">Flare is continuous; the flat profile is methodologically correct, not a data gap.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T3-modelled</w:t>
            </w:r>
          </w:p>
        </w:tc>
        <w:tc>
          <w:tcPr/>
          <w:p>
            <w:pPr>
              <w:pStyle w:val="Compact"/>
            </w:pPr>
            <w:r>
              <w:t xml:space="preserve">±40%</w:t>
            </w:r>
          </w:p>
        </w:tc>
        <w:tc>
          <w:tcPr/>
          <w:p>
            <w:pPr>
              <w:pStyle w:val="Compact"/>
            </w:pPr>
            <w:r>
              <w:t xml:space="preserve">Static annual + typical shape. Treat as order-of-magnitude estimate; do not use hour-level reconstructions for modelling.</w:t>
            </w:r>
          </w:p>
        </w:tc>
      </w:tr>
    </w:tbl>
    <w:p>
      <w:pPr>
        <w:pStyle w:val="BodyText"/>
      </w:pPr>
      <w:r>
        <w:t xml:space="preserve">Full tier methodology:</w:t>
      </w:r>
      <w:r>
        <w:t xml:space="preserve"> </w:t>
      </w:r>
      <w:r>
        <w:rPr>
          <w:rStyle w:val="VerbatimChar"/>
        </w:rPr>
        <w:t xml:space="preserve">docs/methodology/uncertainty.md</w:t>
      </w:r>
      <w:r>
        <w:t xml:space="preserve">.</w:t>
      </w:r>
    </w:p>
    <w:bookmarkEnd w:id="62"/>
    <w:bookmarkStart w:id="63" w:name="documented-coverage-gaps"/>
    <w:p>
      <w:pPr>
        <w:pStyle w:val="Heading2"/>
      </w:pPr>
      <w:r>
        <w:t xml:space="preserve">5.3 Documented coverage gaps</w:t>
      </w:r>
    </w:p>
    <w:p>
      <w:pPr>
        <w:pStyle w:val="FirstParagraph"/>
      </w:pPr>
      <w:r>
        <w:t xml:space="preserve">The dataset does not publish hourly values for jurisdictions with</w:t>
      </w:r>
      <w:r>
        <w:t xml:space="preserve"> </w:t>
      </w:r>
      <w:r>
        <w:t xml:space="preserve">no public hourly upstream source. Explicit gaps: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Mexico (CENACE).</w:t>
      </w:r>
      <w:r>
        <w:t xml:space="preserve"> </w:t>
      </w:r>
      <w:r>
        <w:t xml:space="preserve">CENACE redirects to error pages from</w:t>
      </w:r>
      <w:r>
        <w:t xml:space="preserve"> </w:t>
      </w:r>
      <w:r>
        <w:t xml:space="preserve">outside-MX IPs; no unauthenticated hourly curtailment feed.</w:t>
      </w:r>
      <w:r>
        <w:t xml:space="preserve"> </w:t>
      </w:r>
      <w:r>
        <w:t xml:space="preserve">Absent from the dataset, not modelled.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Most of the Middle East outside flare basins</w:t>
      </w:r>
      <w:r>
        <w:t xml:space="preserve"> </w:t>
      </w:r>
      <w:r>
        <w:t xml:space="preserve">(UAE,</w:t>
      </w:r>
      <w:r>
        <w:t xml:space="preserve"> </w:t>
      </w:r>
      <w:r>
        <w:t xml:space="preserve">non-flare Saudi, Egypt, Oman). No public hourly feed; small</w:t>
      </w:r>
      <w:r>
        <w:t xml:space="preserve"> </w:t>
      </w:r>
      <w:r>
        <w:t xml:space="preserve">fallback estimates appear as T3-modelled (typical solar shape</w:t>
      </w:r>
      <w:r>
        <w:t xml:space="preserve"> </w:t>
      </w:r>
      <w:r>
        <w:t xml:space="preserve">scaled to a published annual) — see</w:t>
      </w:r>
      <w:r>
        <w:t xml:space="preserve"> </w:t>
      </w:r>
      <w:r>
        <w:rPr>
          <w:rStyle w:val="VerbatimChar"/>
        </w:rPr>
        <w:t xml:space="preserve">docs/known-limitations.md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Sub-Saharan Africa outside ESKOM</w:t>
      </w:r>
      <w:r>
        <w:t xml:space="preserve">. Eskom (South Africa)</w:t>
      </w:r>
      <w:r>
        <w:t xml:space="preserve"> </w:t>
      </w:r>
      <w:r>
        <w:t xml:space="preserve">is T1a-live-tso via the data portal; other sub-Saharan grids</w:t>
      </w:r>
      <w:r>
        <w:t xml:space="preserve"> </w:t>
      </w:r>
      <w:r>
        <w:t xml:space="preserve">have patchy published generation and no curtailment accounting.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Central Asia and Russia outside W. Siberia flare.</w:t>
      </w:r>
      <w:r>
        <w:t xml:space="preserve"> </w:t>
      </w:r>
      <w:r>
        <w:t xml:space="preserve">Russian</w:t>
      </w:r>
      <w:r>
        <w:t xml:space="preserve"> </w:t>
      </w:r>
      <w:r>
        <w:t xml:space="preserve">European grid carries a 1 TWh/yr T3-modelled hydro-seasonal</w:t>
      </w:r>
      <w:r>
        <w:t xml:space="preserve"> </w:t>
      </w:r>
      <w:r>
        <w:t xml:space="preserve">fallback; Murmansk wind is a T2-annual-calibrated flat estimate;</w:t>
      </w:r>
      <w:r>
        <w:t xml:space="preserve"> </w:t>
      </w:r>
      <w:r>
        <w:t xml:space="preserve">Central Asia is absent beyond Kazakhstan (T3 wind).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Chinese provincial-level hourly.</w:t>
      </w:r>
      <w:r>
        <w:t xml:space="preserve"> </w:t>
      </w:r>
      <w:r>
        <w:t xml:space="preserve">All 27 Chinese provinces</w:t>
      </w:r>
      <w:r>
        <w:t xml:space="preserve"> </w:t>
      </w:r>
      <w:r>
        <w:t xml:space="preserve">surface as T3-modelled — typical diurnal/seasonal shapes (solar</w:t>
      </w:r>
      <w:r>
        <w:t xml:space="preserve"> </w:t>
      </w:r>
      <w:r>
        <w:t xml:space="preserve">cosine, wind broad-overnight, monthly-seasonal hydro, or</w:t>
      </w:r>
      <w:r>
        <w:t xml:space="preserve"> </w:t>
      </w:r>
      <w:r>
        <w:t xml:space="preserve">mixed fuel-share per province) scaled to NEA 2024 provincial</w:t>
      </w:r>
      <w:r>
        <w:t xml:space="preserve"> </w:t>
      </w:r>
      <w:r>
        <w:t xml:space="preserve">utilisation rates and published annual generation. No public</w:t>
      </w:r>
      <w:r>
        <w:t xml:space="preserve"> </w:t>
      </w:r>
      <w:r>
        <w:t xml:space="preserve">hourly API exists for any Chinese province; see</w:t>
      </w:r>
      <w:r>
        <w:t xml:space="preserve"> </w:t>
      </w:r>
      <w:r>
        <w:rPr>
          <w:rStyle w:val="VerbatimChar"/>
        </w:rPr>
        <w:t xml:space="preserve">docs/methodology/china-provinces.md</w:t>
      </w:r>
      <w:r>
        <w:t xml:space="preserve">.</w:t>
      </w:r>
    </w:p>
    <w:p>
      <w:pPr>
        <w:pStyle w:val="FirstParagraph"/>
      </w:pPr>
      <w:r>
        <w:t xml:space="preserve">Full documented-gap ledger:</w:t>
      </w:r>
      <w:r>
        <w:t xml:space="preserve"> </w:t>
      </w:r>
      <w:r>
        <w:rPr>
          <w:rStyle w:val="VerbatimChar"/>
        </w:rPr>
        <w:t xml:space="preserve">docs/known-limitations.md</w:t>
      </w:r>
      <w:r>
        <w:t xml:space="preserve">.</w:t>
      </w:r>
    </w:p>
    <w:bookmarkEnd w:id="63"/>
    <w:bookmarkStart w:id="64" w:name="X4b64386b806354242947f61a8339b02277e90e5"/>
    <w:p>
      <w:pPr>
        <w:pStyle w:val="Heading2"/>
      </w:pPr>
      <w:r>
        <w:t xml:space="preserve">5.4 Known blind spots in the phenomenon being measured</w:t>
      </w:r>
    </w:p>
    <w:p>
      <w:pPr>
        <w:pStyle w:val="FirstParagraph"/>
      </w:pPr>
      <w:r>
        <w:t xml:space="preserve">Even within regions where upstream feeds exist, curtailment</w:t>
      </w:r>
      <w:r>
        <w:t xml:space="preserve"> </w:t>
      </w:r>
      <w:r>
        <w:t xml:space="preserve">reporting systematically under-captures certain behaviours: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Self-curtailment is invisible.</w:t>
      </w:r>
      <w:r>
        <w:t xml:space="preserve"> </w:t>
      </w:r>
      <w:r>
        <w:t xml:space="preserve">Asset owners throttling</w:t>
      </w:r>
      <w:r>
        <w:t xml:space="preserve"> </w:t>
      </w:r>
      <w:r>
        <w:t xml:space="preserve">output in response to negative prices do not appear in</w:t>
      </w:r>
      <w:r>
        <w:t xml:space="preserve"> </w:t>
      </w:r>
      <w:r>
        <w:t xml:space="preserve">system-operator dispatch-down statistics. Book research</w:t>
      </w:r>
      <w:r>
        <w:t xml:space="preserve"> </w:t>
      </w:r>
      <w:r>
        <w:t xml:space="preserve">places the true total at 50–70% of the invisible figure in</w:t>
      </w:r>
      <w:r>
        <w:t xml:space="preserve"> </w:t>
      </w:r>
      <w:r>
        <w:t xml:space="preserve">ERCOT and some European markets. The published numbers are a</w:t>
      </w:r>
      <w:r>
        <w:t xml:space="preserve"> </w:t>
      </w:r>
      <w:r>
        <w:rPr>
          <w:b/>
          <w:bCs/>
        </w:rPr>
        <w:t xml:space="preserve">lower bound on visible waste</w:t>
      </w:r>
      <w:r>
        <w:t xml:space="preserve">, not an upper bound on</w:t>
      </w:r>
      <w:r>
        <w:t xml:space="preserve"> </w:t>
      </w:r>
      <w:r>
        <w:t xml:space="preserve">available waste.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Intra-hour economic curtailment.</w:t>
      </w:r>
      <w:r>
        <w:t xml:space="preserve"> </w:t>
      </w:r>
      <w:r>
        <w:t xml:space="preserve">Sub-hour market clearing</w:t>
      </w:r>
      <w:r>
        <w:t xml:space="preserve"> </w:t>
      </w:r>
      <w:r>
        <w:t xml:space="preserve">behaviours (5-min dispatch intervals in ERCOT, 15-min in</w:t>
      </w:r>
      <w:r>
        <w:t xml:space="preserve"> </w:t>
      </w:r>
      <w:r>
        <w:t xml:space="preserve">ENTSO-E) may show curtailment that averages out at hourly</w:t>
      </w:r>
      <w:r>
        <w:t xml:space="preserve"> </w:t>
      </w:r>
      <w:r>
        <w:t xml:space="preserve">resolution. The dataset operates at hourly resolution</w:t>
      </w:r>
      <w:r>
        <w:t xml:space="preserve"> </w:t>
      </w:r>
      <w:r>
        <w:t xml:space="preserve">deliberately (cross-comparability across sources); sub-hourly</w:t>
      </w:r>
      <w:r>
        <w:t xml:space="preserve"> </w:t>
      </w:r>
      <w:r>
        <w:t xml:space="preserve">users should consult the native upstream feeds.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Definitional heterogeneity across sources.</w:t>
      </w:r>
      <w:r>
        <w:t xml:space="preserve"> </w:t>
      </w:r>
      <w:r>
        <w:t xml:space="preserve">“Curtailment”</w:t>
      </w:r>
      <w:r>
        <w:t xml:space="preserve"> </w:t>
      </w:r>
      <w:r>
        <w:t xml:space="preserve">is not a single harmonised quantity across TSOs. Per-region</w:t>
      </w:r>
      <w:r>
        <w:t xml:space="preserve"> </w:t>
      </w:r>
      <w:r>
        <w:t xml:space="preserve">validation MDs document what each source publishes and how</w:t>
      </w:r>
      <w:r>
        <w:t xml:space="preserve"> </w:t>
      </w:r>
      <w:r>
        <w:t xml:space="preserve">our reconstruction aligns.</w:t>
      </w:r>
    </w:p>
    <w:bookmarkEnd w:id="64"/>
    <w:bookmarkStart w:id="65" w:name="recommended-citation"/>
    <w:p>
      <w:pPr>
        <w:pStyle w:val="Heading2"/>
      </w:pPr>
      <w:r>
        <w:t xml:space="preserve">5.5 Recommended citation</w:t>
      </w:r>
    </w:p>
    <w:p>
      <w:pPr>
        <w:pStyle w:val="FirstParagraph"/>
      </w:pPr>
      <w:r>
        <w:t xml:space="preserve">Machine-readable citation metadata:</w:t>
      </w:r>
      <w:r>
        <w:t xml:space="preserve"> </w:t>
      </w:r>
      <w:r>
        <w:rPr>
          <w:rStyle w:val="VerbatimChar"/>
        </w:rPr>
        <w:t xml:space="preserve">dataset/CITATION.cff</w:t>
      </w:r>
      <w:r>
        <w:t xml:space="preserve">.</w:t>
      </w:r>
      <w:r>
        <w:t xml:space="preserve"> </w:t>
      </w:r>
      <w:r>
        <w:t xml:space="preserve">Zenodo-minted version DOI for v1.2.1:</w:t>
      </w:r>
      <w:r>
        <w:t xml:space="preserve"> </w:t>
      </w:r>
      <w:r>
        <w:rPr>
          <w:rStyle w:val="VerbatimChar"/>
        </w:rPr>
        <w:t xml:space="preserve">10.5281/zenodo.20045637</w:t>
      </w:r>
      <w:r>
        <w:t xml:space="preserve">.</w:t>
      </w:r>
      <w:r>
        <w:t xml:space="preserve"> </w:t>
      </w:r>
      <w:r>
        <w:t xml:space="preserve">Concept DOI (resolves to latest version):</w:t>
      </w:r>
      <w:r>
        <w:t xml:space="preserve"> </w:t>
      </w:r>
      <w:r>
        <w:rPr>
          <w:rStyle w:val="VerbatimChar"/>
        </w:rPr>
        <w:t xml:space="preserve">10.5281/zenodo.19835411</w:t>
      </w:r>
      <w:r>
        <w:t xml:space="preserve">.</w:t>
      </w:r>
    </w:p>
    <w:p>
      <w:pPr>
        <w:pStyle w:val="BodyText"/>
      </w:pPr>
      <w:r>
        <w:t xml:space="preserve">Preferred human citation:</w:t>
      </w:r>
    </w:p>
    <w:p>
      <w:pPr>
        <w:pStyle w:val="BlockText"/>
      </w:pPr>
      <w:r>
        <w:t xml:space="preserve">Collins, S. (2026). Every Last Joule: an hourly synthesis of</w:t>
      </w:r>
      <w:r>
        <w:t xml:space="preserve"> </w:t>
      </w:r>
      <w:r>
        <w:t xml:space="preserve">renewable-electricity curtailment and associated-gas flaring</w:t>
      </w:r>
      <w:r>
        <w:t xml:space="preserve"> </w:t>
      </w:r>
      <w:r>
        <w:t xml:space="preserve">across 384 regions in 195 countries. Scientific Data.</w:t>
      </w:r>
      <w:r>
        <w:t xml:space="preserve"> </w:t>
      </w:r>
      <w:r>
        <w:t xml:space="preserve">https://doi.org/10.5281/zenodo.20045637</w:t>
      </w:r>
    </w:p>
    <w:p>
      <w:pPr>
        <w:pStyle w:val="FirstParagraph"/>
      </w:pPr>
      <w:r>
        <w:t xml:space="preserve">Cite the</w:t>
      </w:r>
      <w:r>
        <w:t xml:space="preserve"> </w:t>
      </w:r>
      <w:r>
        <w:rPr>
          <w:b/>
          <w:bCs/>
        </w:rPr>
        <w:t xml:space="preserve">version DOI</w:t>
      </w:r>
      <w:r>
        <w:t xml:space="preserve"> </w:t>
      </w:r>
      <w:r>
        <w:t xml:space="preserve">(not the concept DOI) when writing</w:t>
      </w:r>
      <w:r>
        <w:t xml:space="preserve"> </w:t>
      </w:r>
      <w:r>
        <w:t xml:space="preserve">reproducible analyses; concept DOI is appropriate when citing</w:t>
      </w:r>
      <w:r>
        <w:t xml:space="preserve"> </w:t>
      </w:r>
      <w:r>
        <w:t xml:space="preserve">“the dataset as a whole”</w:t>
      </w:r>
      <w:r>
        <w:t xml:space="preserve"> </w:t>
      </w:r>
      <w:r>
        <w:t xml:space="preserve">across versions.</w:t>
      </w:r>
    </w:p>
    <w:bookmarkEnd w:id="65"/>
    <w:bookmarkStart w:id="66" w:name="licensing"/>
    <w:p>
      <w:pPr>
        <w:pStyle w:val="Heading2"/>
      </w:pPr>
      <w:r>
        <w:t xml:space="preserve">5.6 Licensing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Creative Commons Attribution 4.0 International</w:t>
      </w:r>
      <w:r>
        <w:t xml:space="preserve"> </w:t>
      </w:r>
      <w:r>
        <w:t xml:space="preserve">(CC-BY-4.0). See</w:t>
      </w:r>
      <w:r>
        <w:t xml:space="preserve"> </w:t>
      </w:r>
      <w:r>
        <w:rPr>
          <w:rStyle w:val="VerbatimChar"/>
        </w:rPr>
        <w:t xml:space="preserve">dataset/LICENSE</w:t>
      </w:r>
      <w:r>
        <w:t xml:space="preserve">. Attribution required;</w:t>
      </w:r>
      <w:r>
        <w:t xml:space="preserve"> </w:t>
      </w:r>
      <w:r>
        <w:t xml:space="preserve">commercial and derivative use permitted.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 MIT. See repository root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.</w:t>
      </w:r>
    </w:p>
    <w:bookmarkEnd w:id="66"/>
    <w:bookmarkStart w:id="67" w:name="versioning"/>
    <w:p>
      <w:pPr>
        <w:pStyle w:val="Heading2"/>
      </w:pPr>
      <w:r>
        <w:t xml:space="preserve">5.7 Versioning</w:t>
      </w:r>
    </w:p>
    <w:p>
      <w:pPr>
        <w:pStyle w:val="FirstParagraph"/>
      </w:pPr>
      <w:r>
        <w:t xml:space="preserve">Semantic versioning. Minor bumps (</w:t>
      </w:r>
      <w:r>
        <w:rPr>
          <w:rStyle w:val="VerbatimChar"/>
        </w:rPr>
        <w:t xml:space="preserve">v1.x.0</w:t>
      </w:r>
      <w:r>
        <w:t xml:space="preserve">) for new regions,</w:t>
      </w:r>
      <w:r>
        <w:t xml:space="preserve"> </w:t>
      </w:r>
      <w:r>
        <w:t xml:space="preserve">schema changes, or material calibration rate updates. Patch</w:t>
      </w:r>
      <w:r>
        <w:t xml:space="preserve"> </w:t>
      </w:r>
      <w:r>
        <w:t xml:space="preserve">bumps (</w:t>
      </w:r>
      <w:r>
        <w:rPr>
          <w:rStyle w:val="VerbatimChar"/>
        </w:rPr>
        <w:t xml:space="preserve">v1.0.x</w:t>
      </w:r>
      <w:r>
        <w:t xml:space="preserve">) for documentation and calibration refinements</w:t>
      </w:r>
      <w:r>
        <w:t xml:space="preserve"> </w:t>
      </w:r>
      <w:r>
        <w:t xml:space="preserve">within published uncertainty envelopes. Every tag is archived to</w:t>
      </w:r>
      <w:r>
        <w:t xml:space="preserve"> </w:t>
      </w:r>
      <w:r>
        <w:t xml:space="preserve">Zenodo with a versioned DOI. Cite the version you actually used.</w:t>
      </w:r>
    </w:p>
    <w:p>
      <w:pPr>
        <w:pStyle w:val="BodyText"/>
      </w:pPr>
      <w:r>
        <w:t xml:space="preserve">Release history:</w:t>
      </w:r>
      <w:r>
        <w:t xml:space="preserve"> </w:t>
      </w:r>
      <w:r>
        <w:rPr>
          <w:rStyle w:val="VerbatimChar"/>
        </w:rPr>
        <w:t xml:space="preserve">dataset/CHANGELOG.md</w:t>
      </w:r>
      <w:r>
        <w:t xml:space="preserve">.</w:t>
      </w:r>
    </w:p>
    <w:bookmarkEnd w:id="67"/>
    <w:bookmarkStart w:id="68" w:name="re-use-suggestions"/>
    <w:p>
      <w:pPr>
        <w:pStyle w:val="Heading2"/>
      </w:pPr>
      <w:r>
        <w:t xml:space="preserve">5.8 Re-use suggestions</w:t>
      </w:r>
    </w:p>
    <w:p>
      <w:pPr>
        <w:pStyle w:val="FirstParagraph"/>
      </w:pPr>
      <w:r>
        <w:t xml:space="preserve">Examples of analyses this dataset supports: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Power-systems modelling.</w:t>
      </w:r>
      <w:r>
        <w:t xml:space="preserve"> </w:t>
      </w:r>
      <w:r>
        <w:t xml:space="preserve">Hourly curtailment profiles per</w:t>
      </w:r>
      <w:r>
        <w:t xml:space="preserve"> </w:t>
      </w:r>
      <w:r>
        <w:t xml:space="preserve">region, suitable as input to capacity-expansion or</w:t>
      </w:r>
      <w:r>
        <w:t xml:space="preserve"> </w:t>
      </w:r>
      <w:r>
        <w:t xml:space="preserve">unit-commitment models (PyPSA, plexos, GenX).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Interruptible-load siting.</w:t>
      </w:r>
      <w:r>
        <w:t xml:space="preserve"> </w:t>
      </w:r>
      <w:r>
        <w:t xml:space="preserve">Peak-GW × duration-hour</w:t>
      </w:r>
      <w:r>
        <w:t xml:space="preserve"> </w:t>
      </w:r>
      <w:r>
        <w:t xml:space="preserve">surfaces for candidate demand-response or flexible-load</w:t>
      </w:r>
      <w:r>
        <w:t xml:space="preserve"> </w:t>
      </w:r>
      <w:r>
        <w:t xml:space="preserve">deployments.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Renewable-integration policy.</w:t>
      </w:r>
      <w:r>
        <w:t xml:space="preserve"> </w:t>
      </w:r>
      <w:r>
        <w:t xml:space="preserve">Multi-year trend analysis</w:t>
      </w:r>
      <w:r>
        <w:t xml:space="preserve"> </w:t>
      </w:r>
      <w:r>
        <w:t xml:space="preserve">(Figure 3 shows this is visible in the data) for evaluating</w:t>
      </w:r>
      <w:r>
        <w:t xml:space="preserve"> </w:t>
      </w:r>
      <w:r>
        <w:t xml:space="preserve">transmission-investment timelines vs. curtailment growth.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Bitcoin-curtailment matching.</w:t>
      </w:r>
      <w:r>
        <w:t xml:space="preserve"> </w:t>
      </w:r>
      <w:r>
        <w:t xml:space="preserve">The dataset was built to</w:t>
      </w:r>
      <w:r>
        <w:t xml:space="preserve"> </w:t>
      </w:r>
      <w:r>
        <w:t xml:space="preserve">support this hypothesis-test; the companion paper uses it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Cross-jurisdiction curtailment accounting.</w:t>
      </w:r>
      <w:r>
        <w:t xml:space="preserve"> </w:t>
      </w:r>
      <w:r>
        <w:t xml:space="preserve">The per-region</w:t>
      </w:r>
      <w:r>
        <w:t xml:space="preserve"> </w:t>
      </w:r>
      <w:r>
        <w:t xml:space="preserve">validation MDs and</w:t>
      </w:r>
      <w:r>
        <w:t xml:space="preserve"> </w:t>
      </w:r>
      <w:r>
        <w:rPr>
          <w:rStyle w:val="VerbatimChar"/>
        </w:rPr>
        <w:t xml:space="preserve">docs/methodology/validation-discrepancies.md</w:t>
      </w:r>
      <w:r>
        <w:t xml:space="preserve"> </w:t>
      </w:r>
      <w:r>
        <w:t xml:space="preserve">make the definitional differences between TSOs explicit,</w:t>
      </w:r>
      <w:r>
        <w:t xml:space="preserve"> </w:t>
      </w:r>
      <w:r>
        <w:t xml:space="preserve">enabling apples-to-apples comparison.</w:t>
      </w:r>
    </w:p>
    <w:bookmarkEnd w:id="68"/>
    <w:bookmarkStart w:id="69" w:name="how-to-report-issues"/>
    <w:p>
      <w:pPr>
        <w:pStyle w:val="Heading2"/>
      </w:pPr>
      <w:r>
        <w:t xml:space="preserve">5.9 How to report issues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GitHub Issues:</w:t>
      </w:r>
      <w:r>
        <w:t xml:space="preserve"> </w:t>
      </w:r>
      <w:r>
        <w:t xml:space="preserve">https://github.com/honeybeesquad/every-last-joule-dashboard/issues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simon@collins.nu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Data-source corrections:</w:t>
      </w:r>
      <w:r>
        <w:t xml:space="preserve"> </w:t>
      </w:r>
      <w:r>
        <w:t xml:space="preserve">open an issue with the region,</w:t>
      </w:r>
      <w:r>
        <w:t xml:space="preserve"> </w:t>
      </w:r>
      <w:r>
        <w:t xml:space="preserve">the anchor you want to compare against, and the URL. The</w:t>
      </w:r>
      <w:r>
        <w:t xml:space="preserve"> </w:t>
      </w:r>
      <w:r>
        <w:rPr>
          <w:rStyle w:val="VerbatimChar"/>
        </w:rPr>
        <w:t xml:space="preserve">docs/validation/&lt;region&gt;.md</w:t>
      </w:r>
      <w:r>
        <w:t xml:space="preserve"> </w:t>
      </w:r>
      <w:r>
        <w:t xml:space="preserve">workflow will incorporate valid</w:t>
      </w:r>
      <w:r>
        <w:t xml:space="preserve"> </w:t>
      </w:r>
      <w:r>
        <w:t xml:space="preserve">corrections in the next minor release.</w:t>
      </w:r>
    </w:p>
    <w:bookmarkEnd w:id="69"/>
    <w:bookmarkStart w:id="70" w:name="cross-references-2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dataset/README.md</w:t>
      </w:r>
      <w:r>
        <w:t xml:space="preserve"> </w:t>
      </w:r>
      <w:r>
        <w:t xml:space="preserve">— complete dataset card with short</w:t>
      </w:r>
      <w:r>
        <w:t xml:space="preserve"> </w:t>
      </w:r>
      <w:r>
        <w:t xml:space="preserve">tutorial.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dataset/SCHEMA.md</w:t>
      </w:r>
      <w:r>
        <w:t xml:space="preserve"> </w:t>
      </w:r>
      <w:r>
        <w:t xml:space="preserve">— full field schema.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dataset/FAIR.md</w:t>
      </w:r>
      <w:r>
        <w:t xml:space="preserve"> </w:t>
      </w:r>
      <w:r>
        <w:t xml:space="preserve">— FAIR self-assessment (§7: re-use</w:t>
      </w:r>
      <w:r>
        <w:t xml:space="preserve"> </w:t>
      </w:r>
      <w:r>
        <w:t xml:space="preserve">guidance).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docs/known-limitations.md</w:t>
      </w:r>
      <w:r>
        <w:t xml:space="preserve"> </w:t>
      </w:r>
      <w:r>
        <w:t xml:space="preserve">— complete documented-gap and</w:t>
      </w:r>
      <w:r>
        <w:t xml:space="preserve"> </w:t>
      </w:r>
      <w:r>
        <w:t xml:space="preserve">blind-spot ledger.</w:t>
      </w:r>
    </w:p>
    <w:bookmarkEnd w:id="70"/>
    <w:bookmarkEnd w:id="71"/>
    <w:bookmarkStart w:id="72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rPr>
          <w:i/>
          <w:iCs/>
        </w:rPr>
        <w:t xml:space="preserve">Scientific Data Data Descriptor · Section 6 · Target length 100–200</w:t>
      </w:r>
      <w:r>
        <w:rPr>
          <w:i/>
          <w:iCs/>
        </w:rPr>
        <w:t xml:space="preserve"> </w:t>
      </w:r>
      <w:r>
        <w:rPr>
          <w:i/>
          <w:iCs/>
        </w:rPr>
        <w:t xml:space="preserve">words.</w:t>
      </w:r>
    </w:p>
    <w:p>
      <w:pPr>
        <w:pStyle w:val="BodyText"/>
      </w:pPr>
      <w:r>
        <w:t xml:space="preserve">All code used to build, validate, and render the dataset is</w:t>
      </w:r>
      <w:r>
        <w:t xml:space="preserve"> </w:t>
      </w:r>
      <w:r>
        <w:t xml:space="preserve">publicly available in the repository under an MIT licence</w:t>
      </w:r>
      <w:r>
        <w:t xml:space="preserve"> </w:t>
      </w:r>
      <w:r>
        <w:t xml:space="preserve">(dataset content remains under CC-BY-4.0; see</w:t>
      </w:r>
      <w:r>
        <w:t xml:space="preserve"> </w:t>
      </w:r>
      <w:r>
        <w:rPr>
          <w:rStyle w:val="VerbatimChar"/>
        </w:rPr>
        <w:t xml:space="preserve">dataset/LICENSE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https://github.com/honeybeesquad/every-last-joule-dashboard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Tagged release:</w:t>
      </w:r>
      <w:r>
        <w:t xml:space="preserve"> </w:t>
      </w:r>
      <w:r>
        <w:rPr>
          <w:rStyle w:val="VerbatimChar"/>
        </w:rPr>
        <w:t xml:space="preserve">v1.2.1</w:t>
      </w:r>
      <w:r>
        <w:t xml:space="preserve"> </w:t>
      </w:r>
      <w:r>
        <w:t xml:space="preserve">(matches the Zenodo-archived</w:t>
      </w:r>
      <w:r>
        <w:t xml:space="preserve"> </w:t>
      </w:r>
      <w:r>
        <w:t xml:space="preserve">DOI</w:t>
      </w:r>
      <w:r>
        <w:t xml:space="preserve"> </w:t>
      </w:r>
      <w:r>
        <w:rPr>
          <w:rStyle w:val="VerbatimChar"/>
        </w:rPr>
        <w:t xml:space="preserve">10.5281/zenodo.20045637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TypeScript (Observable Framework data</w:t>
      </w:r>
      <w:r>
        <w:t xml:space="preserve"> </w:t>
      </w:r>
      <w:r>
        <w:t xml:space="preserve">loaders), Python 3.12+ (historical backfill, validation,</w:t>
      </w:r>
      <w:r>
        <w:t xml:space="preserve"> </w:t>
      </w:r>
      <w:r>
        <w:t xml:space="preserve">figure rendering).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Key dependencies:</w:t>
      </w:r>
      <w:r>
        <w:t xml:space="preserve"> </w:t>
      </w:r>
      <w:r>
        <w:t xml:space="preserve">Observable Framework (dashboard build);</w:t>
      </w:r>
      <w:r>
        <w:t xml:space="preserve"> </w:t>
      </w:r>
      <w:r>
        <w:rPr>
          <w:rStyle w:val="VerbatimChar"/>
        </w:rPr>
        <w:t xml:space="preserve">matplotlib ≥ 3.10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pyarrow ≥ 15</w:t>
      </w:r>
      <w:r>
        <w:t xml:space="preserve"> </w:t>
      </w:r>
      <w:r>
        <w:t xml:space="preserve">(figure scripts, isolated</w:t>
      </w:r>
      <w:r>
        <w:t xml:space="preserve"> </w:t>
      </w:r>
      <w:r>
        <w:t xml:space="preserve">in a local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docs/figures/README.md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External APIs used</w:t>
      </w:r>
      <w:r>
        <w:t xml:space="preserve"> </w:t>
      </w:r>
      <w:r>
        <w:t xml:space="preserve">(free, registration required): ENTSO-E</w:t>
      </w:r>
      <w:r>
        <w:t xml:space="preserve"> </w:t>
      </w:r>
      <w:r>
        <w:t xml:space="preserve">Transparency Platform, EIA Hourly Electric Grid Monitor,</w:t>
      </w:r>
      <w:r>
        <w:t xml:space="preserve"> </w:t>
      </w:r>
      <w:r>
        <w:t xml:space="preserve">Elexon BMRS. No paid tier is used.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Agentic workflow artefacts:</w:t>
      </w:r>
      <w:r>
        <w:t xml:space="preserve"> </w:t>
      </w:r>
      <w:r>
        <w:rPr>
          <w:rStyle w:val="VerbatimChar"/>
        </w:rPr>
        <w:t xml:space="preserve">scripts/validation/enrich_*.py</w:t>
      </w:r>
      <w:r>
        <w:t xml:space="preserve"> </w:t>
      </w:r>
      <w:r>
        <w:t xml:space="preserve">(automated validation-MD</w:t>
      </w:r>
      <w:r>
        <w:t xml:space="preserve"> </w:t>
      </w:r>
      <w:r>
        <w:t xml:space="preserve">enrichment),</w:t>
      </w:r>
      <w:r>
        <w:t xml:space="preserve"> </w:t>
      </w:r>
      <w:r>
        <w:rPr>
          <w:rStyle w:val="VerbatimChar"/>
        </w:rPr>
        <w:t xml:space="preserve">docs/academic-model/2026-04-25-gap-closure-plan.md</w:t>
      </w:r>
      <w:r>
        <w:t xml:space="preserve"> </w:t>
      </w:r>
      <w:r>
        <w:t xml:space="preserve">(sprint plan executed by the authoring process),</w:t>
      </w:r>
      <w:r>
        <w:t xml:space="preserve"> </w:t>
      </w:r>
      <w:r>
        <w:rPr>
          <w:rStyle w:val="VerbatimChar"/>
        </w:rPr>
        <w:t xml:space="preserve">docs/superpowers/</w:t>
      </w:r>
      <w:r>
        <w:t xml:space="preserve"> </w:t>
      </w:r>
      <w:r>
        <w:t xml:space="preserve">(agent-workflow documentation).</w:t>
      </w:r>
    </w:p>
    <w:p>
      <w:pPr>
        <w:pStyle w:val="FirstParagraph"/>
      </w:pPr>
      <w:r>
        <w:rPr>
          <w:b/>
          <w:bCs/>
        </w:rPr>
        <w:t xml:space="preserve">Regeneration:</w:t>
      </w:r>
      <w:r>
        <w:t xml:space="preserve"> </w:t>
      </w:r>
      <w:r>
        <w:t xml:space="preserve">Clean-room regeneration of every figure and</w:t>
      </w:r>
      <w:r>
        <w:t xml:space="preserve"> </w:t>
      </w:r>
      <w:r>
        <w:t xml:space="preserve">every Parquet file from a tagged commit is documented in</w:t>
      </w:r>
      <w:r>
        <w:t xml:space="preserve"> </w:t>
      </w:r>
      <w:r>
        <w:rPr>
          <w:rStyle w:val="VerbatimChar"/>
        </w:rPr>
        <w:t xml:space="preserve">dataset/README.md §Reproducibility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docs/methodology/historical-backfill.md</w:t>
      </w:r>
      <w:r>
        <w:t xml:space="preserve"> </w:t>
      </w:r>
      <w:r>
        <w:t xml:space="preserve">(backfill chain), and</w:t>
      </w:r>
      <w:r>
        <w:t xml:space="preserve"> </w:t>
      </w:r>
      <w:r>
        <w:rPr>
          <w:rStyle w:val="VerbatimChar"/>
        </w:rPr>
        <w:t xml:space="preserve">docs/figures/README.md</w:t>
      </w:r>
      <w:r>
        <w:t xml:space="preserve"> </w:t>
      </w:r>
      <w:r>
        <w:t xml:space="preserve">(figure chain). No proprietary data or</w:t>
      </w:r>
      <w:r>
        <w:t xml:space="preserve"> </w:t>
      </w:r>
      <w:r>
        <w:t xml:space="preserve">manual post-processing is involved at any step.</w:t>
      </w:r>
    </w:p>
    <w:p>
      <w:pPr>
        <w:pStyle w:val="BodyText"/>
      </w:pPr>
      <w:r>
        <w:rPr>
          <w:b/>
          <w:bCs/>
        </w:rPr>
        <w:t xml:space="preserve">End-to-end reproducer (verified):</w:t>
      </w:r>
      <w:r>
        <w:t xml:space="preserve"> </w:t>
      </w:r>
      <w:r>
        <w:t xml:space="preserve">A canonical reproducer at</w:t>
      </w:r>
      <w:r>
        <w:t xml:space="preserve"> </w:t>
      </w:r>
      <w:r>
        <w:rPr>
          <w:rStyle w:val="VerbatimChar"/>
        </w:rPr>
        <w:t xml:space="preserve">scripts/reproduce/reproduce_2024_ercot_west.py</w:t>
      </w:r>
      <w:r>
        <w:t xml:space="preserve"> </w:t>
      </w:r>
      <w:r>
        <w:t xml:space="preserve">(also exposed as</w:t>
      </w:r>
      <w:r>
        <w:t xml:space="preserve"> </w:t>
      </w:r>
      <w:r>
        <w:rPr>
          <w:rStyle w:val="VerbatimChar"/>
        </w:rPr>
        <w:t xml:space="preserve">npm run reproduce:ercot-west</w:t>
      </w:r>
      <w:r>
        <w:t xml:space="preserve">) regenerates</w:t>
      </w:r>
      <w:r>
        <w:t xml:space="preserve"> </w:t>
      </w:r>
      <w:r>
        <w:rPr>
          <w:rStyle w:val="VerbatimChar"/>
        </w:rPr>
        <w:t xml:space="preserve">data/historical/backfill/eia_ercot-west_2024.parquet</w:t>
      </w:r>
      <w:r>
        <w:t xml:space="preserve"> </w:t>
      </w:r>
      <w:r>
        <w:t xml:space="preserve">from the</w:t>
      </w:r>
      <w:r>
        <w:t xml:space="preserve"> </w:t>
      </w:r>
      <w:r>
        <w:t xml:space="preserve">raw EIA Hourly Electric Grid Monitor API given only an</w:t>
      </w:r>
      <w:r>
        <w:t xml:space="preserve"> </w:t>
      </w:r>
      <w:r>
        <w:rPr>
          <w:rStyle w:val="VerbatimChar"/>
        </w:rPr>
        <w:t xml:space="preserve">EIA_API_KEY</w:t>
      </w:r>
      <w:r>
        <w:t xml:space="preserve"> </w:t>
      </w:r>
      <w:r>
        <w:t xml:space="preserve">and confirms it matches the committed Parquet</w:t>
      </w:r>
      <w:r>
        <w:t xml:space="preserve"> </w:t>
      </w:r>
      <w:r>
        <w:t xml:space="preserve">within 0.1% tolerance on row count and aggregate</w:t>
      </w:r>
      <w:r>
        <w:t xml:space="preserve"> </w:t>
      </w:r>
      <w:r>
        <w:rPr>
          <w:rStyle w:val="VerbatimChar"/>
        </w:rPr>
        <w:t xml:space="preserve">curtailment_gw</w:t>
      </w:r>
      <w:r>
        <w:t xml:space="preserve">. Runtime ~30 seconds (24 month-fuel API calls</w:t>
      </w:r>
      <w:r>
        <w:t xml:space="preserve"> </w:t>
      </w:r>
      <w:r>
        <w:t xml:space="preserve">at the EIA rate limit). The reproducer pattern generalises to</w:t>
      </w:r>
      <w:r>
        <w:t xml:space="preserve"> </w:t>
      </w:r>
      <w:r>
        <w:t xml:space="preserve">any committed Parquet — the wrapper’s only ERCOT-West-specific</w:t>
      </w:r>
      <w:r>
        <w:t xml:space="preserve"> </w:t>
      </w:r>
      <w:r>
        <w:t xml:space="preserve">constants are</w:t>
      </w:r>
      <w:r>
        <w:t xml:space="preserve"> </w:t>
      </w:r>
      <w:r>
        <w:rPr>
          <w:rStyle w:val="VerbatimChar"/>
        </w:rPr>
        <w:t xml:space="preserve">ISO = "ercot-west"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YEAR = 2024</w:t>
      </w:r>
      <w:r>
        <w:t xml:space="preserve">. This is</w:t>
      </w:r>
      <w:r>
        <w:t xml:space="preserve"> </w:t>
      </w:r>
      <w:r>
        <w:t xml:space="preserve">the council-finding-S3 verifiable-reproducibility surface.</w:t>
      </w:r>
    </w:p>
    <w:p>
      <w:pPr>
        <w:pStyle w:val="BodyText"/>
      </w:pPr>
      <w:r>
        <w:rPr>
          <w:b/>
          <w:bCs/>
        </w:rPr>
        <w:t xml:space="preserve">Scheduled builds</w:t>
      </w:r>
      <w:r>
        <w:t xml:space="preserve"> </w:t>
      </w:r>
      <w:r>
        <w:t xml:space="preserve">run via GitHub Actions (</w:t>
      </w:r>
      <w:r>
        <w:rPr>
          <w:rStyle w:val="VerbatimChar"/>
        </w:rPr>
        <w:t xml:space="preserve">.github/workflows/</w:t>
      </w:r>
      <w:r>
        <w:t xml:space="preserve">)</w:t>
      </w:r>
      <w:r>
        <w:t xml:space="preserve"> </w:t>
      </w:r>
      <w:r>
        <w:t xml:space="preserve">on a ~6-hour cadence, appending to the rolling Parquet history</w:t>
      </w:r>
      <w:r>
        <w:t xml:space="preserve"> </w:t>
      </w:r>
      <w:r>
        <w:t xml:space="preserve">and overwriting the per-region JSON snapshots.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2026-05-06T01:10:14Z</dcterms:created>
  <dcterms:modified xsi:type="dcterms:W3CDTF">2026-05-06T01:10:14Z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