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411A" w14:textId="77777777" w:rsidR="00801333" w:rsidRDefault="00000000">
      <w:pPr>
        <w:spacing w:before="600" w:after="120"/>
      </w:pPr>
      <w:proofErr w:type="spellStart"/>
      <w:r>
        <w:rPr>
          <w:color w:val="555555"/>
          <w:sz w:val="26"/>
          <w:szCs w:val="26"/>
        </w:rPr>
        <w:t>Jagadha</w:t>
      </w:r>
      <w:proofErr w:type="spellEnd"/>
      <w:r>
        <w:rPr>
          <w:color w:val="555555"/>
          <w:sz w:val="26"/>
          <w:szCs w:val="26"/>
        </w:rPr>
        <w:t xml:space="preserve"> by </w:t>
      </w:r>
      <w:proofErr w:type="spellStart"/>
      <w:r>
        <w:rPr>
          <w:color w:val="555555"/>
          <w:sz w:val="26"/>
          <w:szCs w:val="26"/>
        </w:rPr>
        <w:t>Padanjaly</w:t>
      </w:r>
      <w:proofErr w:type="spellEnd"/>
    </w:p>
    <w:p w14:paraId="0FAF3327" w14:textId="77777777" w:rsidR="00801333" w:rsidRDefault="00000000">
      <w:pPr>
        <w:spacing w:after="120"/>
      </w:pPr>
      <w:r>
        <w:rPr>
          <w:b/>
          <w:bCs/>
          <w:color w:val="1F4D3A"/>
          <w:sz w:val="48"/>
          <w:szCs w:val="48"/>
        </w:rPr>
        <w:t>Location Analysis Report</w:t>
      </w:r>
    </w:p>
    <w:p w14:paraId="4F4A1531" w14:textId="77777777" w:rsidR="00801333" w:rsidRDefault="00000000">
      <w:pPr>
        <w:pBdr>
          <w:bottom w:val="single" w:sz="8" w:space="6" w:color="1F4D3A"/>
        </w:pBdr>
        <w:spacing w:after="240"/>
      </w:pPr>
      <w:r>
        <w:rPr>
          <w:color w:val="555555"/>
          <w:sz w:val="26"/>
          <w:szCs w:val="26"/>
        </w:rPr>
        <w:t>Geographical sales performance and customer behaviour</w:t>
      </w:r>
    </w:p>
    <w:p w14:paraId="681BD137" w14:textId="77777777" w:rsidR="00801333" w:rsidRDefault="00000000">
      <w:pPr>
        <w:spacing w:after="200"/>
      </w:pPr>
      <w:r>
        <w:t>Prepared by: G Arjun   |   Date: 24 October 2026</w:t>
      </w:r>
    </w:p>
    <w:p w14:paraId="0E3611B6" w14:textId="77777777" w:rsidR="00801333" w:rsidRDefault="00000000">
      <w:pPr>
        <w:pStyle w:val="Heading1"/>
      </w:pPr>
      <w:r>
        <w:t>1. Objective</w:t>
      </w:r>
    </w:p>
    <w:p w14:paraId="4B5227B7" w14:textId="77777777" w:rsidR="00801333" w:rsidRDefault="00000000">
      <w:pPr>
        <w:spacing w:after="120" w:line="288" w:lineRule="auto"/>
      </w:pPr>
      <w:r>
        <w:t>The task was to analyse sales by country, state and city to identify high- and low-performing locations, and to create geographical insights and visuals that explain regional sales performance. This report presents the Power BI Location Analysis Dashboard built for that task and the insights it gives.</w:t>
      </w:r>
    </w:p>
    <w:p w14:paraId="29CA84F4" w14:textId="77777777" w:rsidR="00801333" w:rsidRDefault="00000000">
      <w:pPr>
        <w:spacing w:after="120" w:line="288" w:lineRule="auto"/>
      </w:pPr>
      <w:r>
        <w:t>The analysis uses the cleaned WooCommerce orders table (</w:t>
      </w:r>
      <w:proofErr w:type="spellStart"/>
      <w:r>
        <w:t>padanjaly_cleaned</w:t>
      </w:r>
      <w:proofErr w:type="spellEnd"/>
      <w:r>
        <w:t>), which holds 690 orders. The corrected billing country, state and city columns were used for every location visual.</w:t>
      </w:r>
    </w:p>
    <w:p w14:paraId="595B4694" w14:textId="665D05B8" w:rsidR="00801333" w:rsidRDefault="00000000">
      <w:pPr>
        <w:pStyle w:val="Heading1"/>
      </w:pPr>
      <w:r>
        <w:t>2. Dashboard Overview</w:t>
      </w:r>
      <w:r w:rsidR="006678BE">
        <w:rPr>
          <w:noProof/>
        </w:rPr>
        <w:drawing>
          <wp:inline distT="0" distB="0" distL="0" distR="0" wp14:anchorId="19B145C7" wp14:editId="36D4CDEA">
            <wp:extent cx="6188710" cy="3451225"/>
            <wp:effectExtent l="0" t="0" r="2540" b="0"/>
            <wp:docPr id="21090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5220" name="Picture 21090452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451225"/>
                    </a:xfrm>
                    <a:prstGeom prst="rect">
                      <a:avLst/>
                    </a:prstGeom>
                  </pic:spPr>
                </pic:pic>
              </a:graphicData>
            </a:graphic>
          </wp:inline>
        </w:drawing>
      </w:r>
    </w:p>
    <w:p w14:paraId="1DAF6F9D" w14:textId="259B5F6F" w:rsidR="00801333" w:rsidRDefault="00801333">
      <w:pPr>
        <w:spacing w:before="120" w:after="80"/>
        <w:jc w:val="center"/>
      </w:pPr>
    </w:p>
    <w:p w14:paraId="6E599753" w14:textId="77777777" w:rsidR="00801333" w:rsidRDefault="00000000">
      <w:pPr>
        <w:spacing w:after="200"/>
        <w:jc w:val="center"/>
      </w:pPr>
      <w:r>
        <w:rPr>
          <w:i/>
          <w:iCs/>
          <w:color w:val="555555"/>
          <w:sz w:val="20"/>
          <w:szCs w:val="20"/>
        </w:rPr>
        <w:t xml:space="preserve">Figure 1: </w:t>
      </w:r>
      <w:proofErr w:type="spellStart"/>
      <w:r>
        <w:rPr>
          <w:i/>
          <w:iCs/>
          <w:color w:val="555555"/>
          <w:sz w:val="20"/>
          <w:szCs w:val="20"/>
        </w:rPr>
        <w:t>Padanjaly</w:t>
      </w:r>
      <w:proofErr w:type="spellEnd"/>
      <w:r>
        <w:rPr>
          <w:i/>
          <w:iCs/>
          <w:color w:val="555555"/>
          <w:sz w:val="20"/>
          <w:szCs w:val="20"/>
        </w:rPr>
        <w:t xml:space="preserve"> Location Analysis Dashboard</w:t>
      </w:r>
    </w:p>
    <w:p w14:paraId="7E0F3B51" w14:textId="77777777" w:rsidR="00801333" w:rsidRDefault="00000000">
      <w:pPr>
        <w:spacing w:after="120" w:line="288" w:lineRule="auto"/>
      </w:pPr>
      <w:r>
        <w:t>The dashboard has four KPI cards and five visuals. Each card is linked to a visual that breaks the same measure down by location. The units sold by state chart uses the Total Units Sold measure, which totals 913 units across the dataset.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946"/>
      </w:tblGrid>
      <w:tr w:rsidR="00801333" w14:paraId="3A21221F"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29638F7C" w14:textId="77777777" w:rsidR="00801333" w:rsidRDefault="00000000">
            <w:r>
              <w:rPr>
                <w:b/>
                <w:bCs/>
                <w:color w:val="FFFFFF"/>
                <w:sz w:val="20"/>
                <w:szCs w:val="20"/>
              </w:rPr>
              <w:t>KPI card</w:t>
            </w:r>
          </w:p>
        </w:tc>
        <w:tc>
          <w:tcPr>
            <w:tcW w:w="1500"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6B8441AA" w14:textId="77777777" w:rsidR="00801333" w:rsidRDefault="00000000">
            <w:r>
              <w:rPr>
                <w:b/>
                <w:bCs/>
                <w:color w:val="FFFFFF"/>
                <w:sz w:val="20"/>
                <w:szCs w:val="20"/>
              </w:rPr>
              <w:t>Value</w:t>
            </w:r>
          </w:p>
        </w:tc>
        <w:tc>
          <w:tcPr>
            <w:tcW w:w="5946"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4BD80ABF" w14:textId="77777777" w:rsidR="00801333" w:rsidRDefault="00000000">
            <w:r>
              <w:rPr>
                <w:b/>
                <w:bCs/>
                <w:color w:val="FFFFFF"/>
                <w:sz w:val="20"/>
                <w:szCs w:val="20"/>
              </w:rPr>
              <w:t>Linked visual</w:t>
            </w:r>
          </w:p>
        </w:tc>
      </w:tr>
      <w:tr w:rsidR="00801333" w14:paraId="3D5D44FF"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26C5D9" w14:textId="77777777" w:rsidR="00801333" w:rsidRDefault="00000000">
            <w:r>
              <w:rPr>
                <w:color w:val="000000"/>
                <w:sz w:val="20"/>
                <w:szCs w:val="20"/>
              </w:rPr>
              <w:t>Countries Served</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E80CD5A" w14:textId="77777777" w:rsidR="00801333" w:rsidRDefault="00000000">
            <w:r>
              <w:rPr>
                <w:color w:val="000000"/>
                <w:sz w:val="20"/>
                <w:szCs w:val="20"/>
              </w:rPr>
              <w:t>24</w:t>
            </w:r>
          </w:p>
        </w:tc>
        <w:tc>
          <w:tcPr>
            <w:tcW w:w="59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52E664" w14:textId="77777777" w:rsidR="00801333" w:rsidRDefault="00000000">
            <w:r>
              <w:rPr>
                <w:color w:val="000000"/>
                <w:sz w:val="20"/>
                <w:szCs w:val="20"/>
              </w:rPr>
              <w:t>Revenue map by country</w:t>
            </w:r>
          </w:p>
        </w:tc>
      </w:tr>
      <w:tr w:rsidR="00801333" w14:paraId="2A62694D"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2CCD18" w14:textId="77777777" w:rsidR="00801333" w:rsidRDefault="00000000">
            <w:r>
              <w:rPr>
                <w:color w:val="000000"/>
                <w:sz w:val="20"/>
                <w:szCs w:val="20"/>
              </w:rPr>
              <w:lastRenderedPageBreak/>
              <w:t>Same City %</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7C4DF1E" w14:textId="77777777" w:rsidR="00801333" w:rsidRDefault="00000000">
            <w:r>
              <w:rPr>
                <w:color w:val="000000"/>
                <w:sz w:val="20"/>
                <w:szCs w:val="20"/>
              </w:rPr>
              <w:t>98.84%</w:t>
            </w:r>
          </w:p>
        </w:tc>
        <w:tc>
          <w:tcPr>
            <w:tcW w:w="59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6B07417" w14:textId="77777777" w:rsidR="00801333" w:rsidRDefault="00000000">
            <w:r>
              <w:rPr>
                <w:color w:val="000000"/>
                <w:sz w:val="20"/>
                <w:szCs w:val="20"/>
              </w:rPr>
              <w:t>Billing vs shipping city donut</w:t>
            </w:r>
          </w:p>
        </w:tc>
      </w:tr>
      <w:tr w:rsidR="00801333" w14:paraId="43489F92"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C6E8BBD" w14:textId="77777777" w:rsidR="00801333" w:rsidRDefault="00000000">
            <w:r>
              <w:rPr>
                <w:color w:val="000000"/>
                <w:sz w:val="20"/>
                <w:szCs w:val="20"/>
              </w:rPr>
              <w:t>Repeat Customers</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7F38031" w14:textId="77777777" w:rsidR="00801333" w:rsidRDefault="00000000">
            <w:r>
              <w:rPr>
                <w:color w:val="000000"/>
                <w:sz w:val="20"/>
                <w:szCs w:val="20"/>
              </w:rPr>
              <w:t>21</w:t>
            </w:r>
          </w:p>
        </w:tc>
        <w:tc>
          <w:tcPr>
            <w:tcW w:w="59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89A9EC" w14:textId="77777777" w:rsidR="00801333" w:rsidRDefault="00000000">
            <w:r>
              <w:rPr>
                <w:color w:val="000000"/>
                <w:sz w:val="20"/>
                <w:szCs w:val="20"/>
              </w:rPr>
              <w:t>Repeat customers by city</w:t>
            </w:r>
          </w:p>
        </w:tc>
      </w:tr>
      <w:tr w:rsidR="00801333" w14:paraId="729CEE7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41E7FE6" w14:textId="77777777" w:rsidR="00801333" w:rsidRDefault="00000000">
            <w:r>
              <w:rPr>
                <w:color w:val="000000"/>
                <w:sz w:val="20"/>
                <w:szCs w:val="20"/>
              </w:rPr>
              <w:t>Repeat Orders</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1D8EEB" w14:textId="77777777" w:rsidR="00801333" w:rsidRDefault="00000000">
            <w:r>
              <w:rPr>
                <w:color w:val="000000"/>
                <w:sz w:val="20"/>
                <w:szCs w:val="20"/>
              </w:rPr>
              <w:t>48</w:t>
            </w:r>
          </w:p>
        </w:tc>
        <w:tc>
          <w:tcPr>
            <w:tcW w:w="594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600AA95" w14:textId="77777777" w:rsidR="00801333" w:rsidRDefault="00000000">
            <w:r>
              <w:rPr>
                <w:color w:val="000000"/>
                <w:sz w:val="20"/>
                <w:szCs w:val="20"/>
              </w:rPr>
              <w:t>Repeat customers by city (orders from the same customers)</w:t>
            </w:r>
          </w:p>
        </w:tc>
      </w:tr>
    </w:tbl>
    <w:p w14:paraId="0975515B" w14:textId="77777777" w:rsidR="00801333" w:rsidRDefault="00801333">
      <w:pPr>
        <w:spacing w:after="120"/>
      </w:pPr>
    </w:p>
    <w:p w14:paraId="74BEC8ED" w14:textId="77777777" w:rsidR="00801333" w:rsidRDefault="00000000">
      <w:pPr>
        <w:spacing w:after="120" w:line="288" w:lineRule="auto"/>
      </w:pPr>
      <w:r>
        <w:t>Clicking a country, city or state in any visual filters the other visuals and the cards to that selection.</w:t>
      </w:r>
    </w:p>
    <w:p w14:paraId="3ACC394F" w14:textId="162AFED0" w:rsidR="00801333" w:rsidRDefault="00B45F5D">
      <w:pPr>
        <w:pStyle w:val="Heading1"/>
      </w:pPr>
      <w:r>
        <w:t>3</w:t>
      </w:r>
      <w:r w:rsidR="00000000">
        <w:t>. Visual-by-Visual Analysis</w:t>
      </w:r>
    </w:p>
    <w:p w14:paraId="47BF544E" w14:textId="2725C25D" w:rsidR="00801333" w:rsidRDefault="00B45F5D">
      <w:pPr>
        <w:pStyle w:val="Heading2"/>
      </w:pPr>
      <w:r>
        <w:t>3</w:t>
      </w:r>
      <w:r w:rsidR="00000000">
        <w:t>.1 Total Revenue by Billing Country (map)</w:t>
      </w:r>
    </w:p>
    <w:p w14:paraId="12120E8D" w14:textId="77777777" w:rsidR="00801333" w:rsidRDefault="00000000">
      <w:pPr>
        <w:pStyle w:val="ListParagraph"/>
        <w:numPr>
          <w:ilvl w:val="0"/>
          <w:numId w:val="2"/>
        </w:numPr>
        <w:spacing w:after="80" w:line="276" w:lineRule="auto"/>
      </w:pPr>
      <w:r>
        <w:t>The orders come from 24 countries, so the business sells well beyond one market.</w:t>
      </w:r>
    </w:p>
    <w:p w14:paraId="59C5055F" w14:textId="77777777" w:rsidR="00801333" w:rsidRDefault="00000000">
      <w:pPr>
        <w:pStyle w:val="ListParagraph"/>
        <w:numPr>
          <w:ilvl w:val="0"/>
          <w:numId w:val="2"/>
        </w:numPr>
        <w:spacing w:after="80" w:line="276" w:lineRule="auto"/>
      </w:pPr>
      <w:r>
        <w:t>India is shaded darkest, which makes it the highest-revenue country. The United States is lightly shaded, and the other countries are pale, so overseas revenue is spread thinly across many countries.</w:t>
      </w:r>
    </w:p>
    <w:p w14:paraId="766BF8A8" w14:textId="77777777" w:rsidR="00801333" w:rsidRDefault="00000000">
      <w:pPr>
        <w:pStyle w:val="ListParagraph"/>
        <w:numPr>
          <w:ilvl w:val="0"/>
          <w:numId w:val="2"/>
        </w:numPr>
        <w:spacing w:after="80" w:line="276" w:lineRule="auto"/>
      </w:pPr>
      <w:r>
        <w:t>From the first dashboard, overseas (USD) orders bring in close to 46% of revenue, so a small number of overseas orders carry a lot of value.</w:t>
      </w:r>
    </w:p>
    <w:p w14:paraId="272F3B7F" w14:textId="457326E1" w:rsidR="00801333" w:rsidRDefault="00B45F5D">
      <w:pPr>
        <w:pStyle w:val="Heading2"/>
      </w:pPr>
      <w:r>
        <w:t>3</w:t>
      </w:r>
      <w:r w:rsidR="00000000">
        <w:t>.2 Billing City vs Shipping City (donut)</w:t>
      </w:r>
    </w:p>
    <w:p w14:paraId="5A0A315B" w14:textId="77777777" w:rsidR="00801333" w:rsidRDefault="00000000">
      <w:pPr>
        <w:pStyle w:val="ListParagraph"/>
        <w:numPr>
          <w:ilvl w:val="0"/>
          <w:numId w:val="2"/>
        </w:numPr>
        <w:spacing w:after="80" w:line="276" w:lineRule="auto"/>
      </w:pPr>
      <w:r>
        <w:t>682 of 690 orders (98.84%) ship to the same city as the billing address. Only 8 orders (1.16%) go to a different city.</w:t>
      </w:r>
    </w:p>
    <w:p w14:paraId="2DE5EAEB" w14:textId="48D10506" w:rsidR="00801333" w:rsidRDefault="00B45F5D">
      <w:pPr>
        <w:pStyle w:val="Heading2"/>
      </w:pPr>
      <w:r>
        <w:t>3</w:t>
      </w:r>
      <w:r w:rsidR="00000000">
        <w:t>.3 Repeat Customers by Billing City</w:t>
      </w:r>
    </w:p>
    <w:p w14:paraId="6871FB15" w14:textId="77777777" w:rsidR="00801333" w:rsidRDefault="00000000">
      <w:pPr>
        <w:pStyle w:val="ListParagraph"/>
        <w:numPr>
          <w:ilvl w:val="0"/>
          <w:numId w:val="2"/>
        </w:numPr>
        <w:spacing w:after="80" w:line="276" w:lineRule="auto"/>
      </w:pPr>
      <w:r>
        <w:t>Hyderabad and Noida have the most repeat customers (3 each). Bengaluru and Pune follow with 2 each, and thirteen other cities have 1 each.</w:t>
      </w:r>
    </w:p>
    <w:p w14:paraId="77BA39EE" w14:textId="77777777" w:rsidR="00801333" w:rsidRDefault="00000000">
      <w:pPr>
        <w:pStyle w:val="ListParagraph"/>
        <w:numPr>
          <w:ilvl w:val="0"/>
          <w:numId w:val="2"/>
        </w:numPr>
        <w:spacing w:after="80" w:line="276" w:lineRule="auto"/>
      </w:pPr>
      <w:r>
        <w:t xml:space="preserve">The visible cities are mostly large Indian metros (Hyderabad, Bengaluru, Pune, Chennai, Ahmedabad, Thane, Nashik) and Kerala towns (Thiruvananthapuram, Kozhikode, Kannur, Malappuram, </w:t>
      </w:r>
      <w:proofErr w:type="spellStart"/>
      <w:r>
        <w:t>Anjarakandy</w:t>
      </w:r>
      <w:proofErr w:type="spellEnd"/>
      <w:r>
        <w:t>). Klang in Malaysia is also in the list, so repeat buying is not limited to India.</w:t>
      </w:r>
    </w:p>
    <w:p w14:paraId="3E4D4F7B" w14:textId="77777777" w:rsidR="00801333" w:rsidRDefault="00000000">
      <w:pPr>
        <w:pStyle w:val="ListParagraph"/>
        <w:numPr>
          <w:ilvl w:val="0"/>
          <w:numId w:val="2"/>
        </w:numPr>
        <w:spacing w:after="80" w:line="276" w:lineRule="auto"/>
      </w:pPr>
      <w:r>
        <w:t>The 21 repeat customers placed 48 orders, which is about 2.3 orders per repeat customer.</w:t>
      </w:r>
    </w:p>
    <w:p w14:paraId="776DA803" w14:textId="3229352E" w:rsidR="00801333" w:rsidRDefault="00B45F5D">
      <w:pPr>
        <w:pStyle w:val="Heading2"/>
      </w:pPr>
      <w:r>
        <w:t>3</w:t>
      </w:r>
      <w:r w:rsidR="00000000">
        <w:t>.4 Total Orders by Billing City</w:t>
      </w:r>
    </w:p>
    <w:p w14:paraId="44D366FD" w14:textId="77777777" w:rsidR="00801333" w:rsidRDefault="00000000">
      <w:pPr>
        <w:pStyle w:val="ListParagraph"/>
        <w:numPr>
          <w:ilvl w:val="0"/>
          <w:numId w:val="2"/>
        </w:numPr>
        <w:spacing w:after="80" w:line="276" w:lineRule="auto"/>
      </w:pPr>
      <w:r>
        <w:t>Bengaluru is the top city with 57 orders (about 8% of all orders). Hyderabad (33), Thiruvananthapuram (28), Chennai (25), Mumbai (22) and Pune (17) follow.</w:t>
      </w:r>
    </w:p>
    <w:p w14:paraId="7D22C0F6" w14:textId="77777777" w:rsidR="00801333" w:rsidRDefault="00000000">
      <w:pPr>
        <w:pStyle w:val="ListParagraph"/>
        <w:numPr>
          <w:ilvl w:val="0"/>
          <w:numId w:val="2"/>
        </w:numPr>
        <w:spacing w:after="80" w:line="276" w:lineRule="auto"/>
      </w:pPr>
      <w:r>
        <w:t>These six Indian cities account for 182 orders, about 26% of the total, so sales are spread across a wide set of cities and not concentrated in one.</w:t>
      </w:r>
    </w:p>
    <w:p w14:paraId="3951A164" w14:textId="77777777" w:rsidR="00801333" w:rsidRDefault="00000000">
      <w:pPr>
        <w:pStyle w:val="ListParagraph"/>
        <w:numPr>
          <w:ilvl w:val="0"/>
          <w:numId w:val="2"/>
        </w:numPr>
        <w:spacing w:after="80" w:line="276" w:lineRule="auto"/>
      </w:pPr>
      <w:r>
        <w:t>The overseas cities in the list are London (4), Singapore (4), Sugar Hill (3) and Spring (1). They have very few orders, but the overseas orders are large in value. For example, the first dashboard showed a single ₹154k Singapore order in October 2025.</w:t>
      </w:r>
    </w:p>
    <w:p w14:paraId="0BA95545" w14:textId="34B3874C" w:rsidR="00801333" w:rsidRDefault="00000000">
      <w:pPr>
        <w:pStyle w:val="ListParagraph"/>
        <w:numPr>
          <w:ilvl w:val="0"/>
          <w:numId w:val="2"/>
        </w:numPr>
        <w:spacing w:after="80" w:line="276" w:lineRule="auto"/>
      </w:pPr>
      <w:r>
        <w:t xml:space="preserve">Bengaluru has the most orders but only 2 repeat customers, while Hyderabad and Noida have 3 each. </w:t>
      </w:r>
    </w:p>
    <w:p w14:paraId="7A38E6AB" w14:textId="30BCB3E6" w:rsidR="00801333" w:rsidRDefault="00B45F5D">
      <w:pPr>
        <w:pStyle w:val="Heading2"/>
      </w:pPr>
      <w:r>
        <w:t>3</w:t>
      </w:r>
      <w:r w:rsidR="00000000">
        <w:t>.5 Total Units Sold by Billing State</w:t>
      </w:r>
    </w:p>
    <w:p w14:paraId="73F62D92" w14:textId="77777777" w:rsidR="00801333" w:rsidRDefault="00000000">
      <w:pPr>
        <w:pStyle w:val="ListParagraph"/>
        <w:numPr>
          <w:ilvl w:val="0"/>
          <w:numId w:val="2"/>
        </w:numPr>
        <w:spacing w:after="80" w:line="276" w:lineRule="auto"/>
      </w:pPr>
      <w:r>
        <w:t>Tamil Nadu is the clear leader with about 100 units, more than double Telangana (about 42 units). Uttar Pradesh follows with about 18 units, and West Bengal with about 7.</w:t>
      </w:r>
    </w:p>
    <w:p w14:paraId="463F3931" w14:textId="77777777" w:rsidR="00801333" w:rsidRDefault="00000000">
      <w:pPr>
        <w:pStyle w:val="ListParagraph"/>
        <w:numPr>
          <w:ilvl w:val="0"/>
          <w:numId w:val="2"/>
        </w:numPr>
        <w:spacing w:after="80" w:line="276" w:lineRule="auto"/>
      </w:pPr>
      <w:r>
        <w:lastRenderedPageBreak/>
        <w:t>Tamil Nadu’s high unit count compared to its order count suggests larger quantity per order, for example multi-pack purchases.</w:t>
      </w:r>
    </w:p>
    <w:p w14:paraId="0281F016" w14:textId="77777777" w:rsidR="00801333" w:rsidRDefault="00000000">
      <w:pPr>
        <w:pStyle w:val="ListParagraph"/>
        <w:numPr>
          <w:ilvl w:val="0"/>
          <w:numId w:val="2"/>
        </w:numPr>
        <w:spacing w:after="80" w:line="276" w:lineRule="auto"/>
      </w:pPr>
      <w:r>
        <w:t>The state column also contains overseas regions (Texas, Virginia, Washington, Victoria, Wales), each with a handful of units. These are small markets.</w:t>
      </w:r>
    </w:p>
    <w:p w14:paraId="4DE422F4" w14:textId="20E74048" w:rsidR="00801333" w:rsidRDefault="00B45F5D">
      <w:pPr>
        <w:pStyle w:val="Heading1"/>
      </w:pPr>
      <w:r>
        <w:t>4</w:t>
      </w:r>
      <w:r w:rsidR="00000000">
        <w:t>. High- and Low-Performing Locations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73"/>
        <w:gridCol w:w="3773"/>
      </w:tblGrid>
      <w:tr w:rsidR="00801333" w14:paraId="5D3CD57A"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441DD5DE" w14:textId="77777777" w:rsidR="00801333" w:rsidRDefault="00000000">
            <w:r>
              <w:rPr>
                <w:b/>
                <w:bCs/>
                <w:color w:val="FFFFFF"/>
                <w:sz w:val="20"/>
                <w:szCs w:val="20"/>
              </w:rPr>
              <w:t>Level</w:t>
            </w:r>
          </w:p>
        </w:tc>
        <w:tc>
          <w:tcPr>
            <w:tcW w:w="3773"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47A26D5B" w14:textId="77777777" w:rsidR="00801333" w:rsidRDefault="00000000">
            <w:r>
              <w:rPr>
                <w:b/>
                <w:bCs/>
                <w:color w:val="FFFFFF"/>
                <w:sz w:val="20"/>
                <w:szCs w:val="20"/>
              </w:rPr>
              <w:t>High performers</w:t>
            </w:r>
          </w:p>
        </w:tc>
        <w:tc>
          <w:tcPr>
            <w:tcW w:w="3773" w:type="dxa"/>
            <w:tcBorders>
              <w:top w:val="single" w:sz="4" w:space="0" w:color="BBBBBB"/>
              <w:left w:val="single" w:sz="4" w:space="0" w:color="BBBBBB"/>
              <w:bottom w:val="single" w:sz="4" w:space="0" w:color="BBBBBB"/>
              <w:right w:val="single" w:sz="4" w:space="0" w:color="BBBBBB"/>
            </w:tcBorders>
            <w:shd w:val="clear" w:color="auto" w:fill="1F4D3A"/>
            <w:tcMar>
              <w:top w:w="70" w:type="dxa"/>
              <w:left w:w="110" w:type="dxa"/>
              <w:bottom w:w="70" w:type="dxa"/>
              <w:right w:w="110" w:type="dxa"/>
            </w:tcMar>
          </w:tcPr>
          <w:p w14:paraId="3D4A0F61" w14:textId="77777777" w:rsidR="00801333" w:rsidRDefault="00000000">
            <w:r>
              <w:rPr>
                <w:b/>
                <w:bCs/>
                <w:color w:val="FFFFFF"/>
                <w:sz w:val="20"/>
                <w:szCs w:val="20"/>
              </w:rPr>
              <w:t>Low performers</w:t>
            </w:r>
          </w:p>
        </w:tc>
      </w:tr>
      <w:tr w:rsidR="00801333" w14:paraId="309A7D1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1D68FFA" w14:textId="77777777" w:rsidR="00801333" w:rsidRDefault="00000000">
            <w:r>
              <w:rPr>
                <w:color w:val="000000"/>
                <w:sz w:val="20"/>
                <w:szCs w:val="20"/>
              </w:rPr>
              <w:t>Country</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F5E1774" w14:textId="77777777" w:rsidR="00801333" w:rsidRDefault="00000000">
            <w:r>
              <w:rPr>
                <w:color w:val="000000"/>
                <w:sz w:val="20"/>
                <w:szCs w:val="20"/>
              </w:rPr>
              <w:t>India (darkest on the map)</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B6885E" w14:textId="77777777" w:rsidR="00801333" w:rsidRDefault="00000000">
            <w:r>
              <w:rPr>
                <w:color w:val="000000"/>
                <w:sz w:val="20"/>
                <w:szCs w:val="20"/>
              </w:rPr>
              <w:t>Most of the 24 countries (pale on the map)</w:t>
            </w:r>
          </w:p>
        </w:tc>
      </w:tr>
      <w:tr w:rsidR="00801333" w14:paraId="7575FF4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BD36B7" w14:textId="77777777" w:rsidR="00801333" w:rsidRDefault="00000000">
            <w:r>
              <w:rPr>
                <w:color w:val="000000"/>
                <w:sz w:val="20"/>
                <w:szCs w:val="20"/>
              </w:rPr>
              <w:t>State</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E8EB23" w14:textId="77777777" w:rsidR="00801333" w:rsidRDefault="00000000">
            <w:r>
              <w:rPr>
                <w:color w:val="000000"/>
                <w:sz w:val="20"/>
                <w:szCs w:val="20"/>
              </w:rPr>
              <w:t>Tamil Nadu, Telangana, Uttar Pradesh (by units)</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C9183B0" w14:textId="77777777" w:rsidR="00801333" w:rsidRDefault="00000000">
            <w:r>
              <w:rPr>
                <w:color w:val="000000"/>
                <w:sz w:val="20"/>
                <w:szCs w:val="20"/>
              </w:rPr>
              <w:t>Overseas regions such as Wales and Uttarakhand (about 2 units each)</w:t>
            </w:r>
          </w:p>
        </w:tc>
      </w:tr>
      <w:tr w:rsidR="00801333" w14:paraId="1354AC3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D043A7" w14:textId="77777777" w:rsidR="00801333" w:rsidRDefault="00000000">
            <w:r>
              <w:rPr>
                <w:color w:val="000000"/>
                <w:sz w:val="20"/>
                <w:szCs w:val="20"/>
              </w:rPr>
              <w:t>City</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2C0424C" w14:textId="77777777" w:rsidR="00801333" w:rsidRDefault="00000000">
            <w:r>
              <w:rPr>
                <w:color w:val="000000"/>
                <w:sz w:val="20"/>
                <w:szCs w:val="20"/>
              </w:rPr>
              <w:t>Bengaluru, Hyderabad, Thiruvananthapuram, Chennai, Mumbai, Pune (by orders)</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BC3547" w14:textId="77777777" w:rsidR="00801333" w:rsidRDefault="00000000">
            <w:r>
              <w:rPr>
                <w:color w:val="000000"/>
                <w:sz w:val="20"/>
                <w:szCs w:val="20"/>
              </w:rPr>
              <w:t>Spring, Sugar Hill, London, Singapore (1 to 4 orders)</w:t>
            </w:r>
          </w:p>
        </w:tc>
      </w:tr>
      <w:tr w:rsidR="00801333" w14:paraId="77E82A2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25EFE57" w14:textId="77777777" w:rsidR="00801333" w:rsidRDefault="00000000">
            <w:r>
              <w:rPr>
                <w:color w:val="000000"/>
                <w:sz w:val="20"/>
                <w:szCs w:val="20"/>
              </w:rPr>
              <w:t>Loyalty</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15012F8" w14:textId="77777777" w:rsidR="00801333" w:rsidRDefault="00000000">
            <w:r>
              <w:rPr>
                <w:color w:val="000000"/>
                <w:sz w:val="20"/>
                <w:szCs w:val="20"/>
              </w:rPr>
              <w:t>Hyderabad, Noida (3 repeat customers each)</w:t>
            </w:r>
          </w:p>
        </w:tc>
        <w:tc>
          <w:tcPr>
            <w:tcW w:w="377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F472E1" w14:textId="77777777" w:rsidR="00801333" w:rsidRDefault="00000000">
            <w:r>
              <w:rPr>
                <w:color w:val="000000"/>
                <w:sz w:val="20"/>
                <w:szCs w:val="20"/>
              </w:rPr>
              <w:t>Cities with 1 repeat customer each, such as Kozhikode and Kannur</w:t>
            </w:r>
          </w:p>
        </w:tc>
      </w:tr>
    </w:tbl>
    <w:p w14:paraId="7C30FBD2" w14:textId="6299D203" w:rsidR="00801333" w:rsidRDefault="00801333">
      <w:pPr>
        <w:spacing w:after="120" w:line="288" w:lineRule="auto"/>
      </w:pPr>
    </w:p>
    <w:sectPr w:rsidR="00801333">
      <w:footerReference w:type="default" r:id="rId8"/>
      <w:pgSz w:w="11906" w:h="16838"/>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93BB" w14:textId="77777777" w:rsidR="003D1583" w:rsidRDefault="003D1583">
      <w:r>
        <w:separator/>
      </w:r>
    </w:p>
  </w:endnote>
  <w:endnote w:type="continuationSeparator" w:id="0">
    <w:p w14:paraId="15F82599" w14:textId="77777777" w:rsidR="003D1583" w:rsidRDefault="003D1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62C6" w14:textId="77777777" w:rsidR="00801333"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45F5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B30F" w14:textId="77777777" w:rsidR="003D1583" w:rsidRDefault="003D1583">
      <w:r>
        <w:separator/>
      </w:r>
    </w:p>
  </w:footnote>
  <w:footnote w:type="continuationSeparator" w:id="0">
    <w:p w14:paraId="0EFDB645" w14:textId="77777777" w:rsidR="003D1583" w:rsidRDefault="003D1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0784E"/>
    <w:multiLevelType w:val="hybridMultilevel"/>
    <w:tmpl w:val="89644FEA"/>
    <w:lvl w:ilvl="0" w:tplc="21CAA64C">
      <w:start w:val="1"/>
      <w:numFmt w:val="bullet"/>
      <w:lvlText w:val="●"/>
      <w:lvlJc w:val="left"/>
      <w:pPr>
        <w:ind w:left="720" w:hanging="360"/>
      </w:pPr>
    </w:lvl>
    <w:lvl w:ilvl="1" w:tplc="515832F6">
      <w:start w:val="1"/>
      <w:numFmt w:val="bullet"/>
      <w:lvlText w:val="○"/>
      <w:lvlJc w:val="left"/>
      <w:pPr>
        <w:ind w:left="1440" w:hanging="360"/>
      </w:pPr>
    </w:lvl>
    <w:lvl w:ilvl="2" w:tplc="958A3FEE">
      <w:start w:val="1"/>
      <w:numFmt w:val="bullet"/>
      <w:lvlText w:val="■"/>
      <w:lvlJc w:val="left"/>
      <w:pPr>
        <w:ind w:left="2160" w:hanging="360"/>
      </w:pPr>
    </w:lvl>
    <w:lvl w:ilvl="3" w:tplc="FECC8B10">
      <w:start w:val="1"/>
      <w:numFmt w:val="bullet"/>
      <w:lvlText w:val="●"/>
      <w:lvlJc w:val="left"/>
      <w:pPr>
        <w:ind w:left="2880" w:hanging="360"/>
      </w:pPr>
    </w:lvl>
    <w:lvl w:ilvl="4" w:tplc="4F4A3DA4">
      <w:start w:val="1"/>
      <w:numFmt w:val="bullet"/>
      <w:lvlText w:val="○"/>
      <w:lvlJc w:val="left"/>
      <w:pPr>
        <w:ind w:left="3600" w:hanging="360"/>
      </w:pPr>
    </w:lvl>
    <w:lvl w:ilvl="5" w:tplc="4B265C0A">
      <w:start w:val="1"/>
      <w:numFmt w:val="bullet"/>
      <w:lvlText w:val="■"/>
      <w:lvlJc w:val="left"/>
      <w:pPr>
        <w:ind w:left="4320" w:hanging="360"/>
      </w:pPr>
    </w:lvl>
    <w:lvl w:ilvl="6" w:tplc="6E3098E6">
      <w:start w:val="1"/>
      <w:numFmt w:val="bullet"/>
      <w:lvlText w:val="●"/>
      <w:lvlJc w:val="left"/>
      <w:pPr>
        <w:ind w:left="5040" w:hanging="360"/>
      </w:pPr>
    </w:lvl>
    <w:lvl w:ilvl="7" w:tplc="40BE1B58">
      <w:start w:val="1"/>
      <w:numFmt w:val="bullet"/>
      <w:lvlText w:val="●"/>
      <w:lvlJc w:val="left"/>
      <w:pPr>
        <w:ind w:left="5760" w:hanging="360"/>
      </w:pPr>
    </w:lvl>
    <w:lvl w:ilvl="8" w:tplc="5A90A39C">
      <w:start w:val="1"/>
      <w:numFmt w:val="bullet"/>
      <w:lvlText w:val="●"/>
      <w:lvlJc w:val="left"/>
      <w:pPr>
        <w:ind w:left="6480" w:hanging="360"/>
      </w:pPr>
    </w:lvl>
  </w:abstractNum>
  <w:abstractNum w:abstractNumId="1" w15:restartNumberingAfterBreak="0">
    <w:nsid w:val="6D0953E7"/>
    <w:multiLevelType w:val="hybridMultilevel"/>
    <w:tmpl w:val="3C5289B2"/>
    <w:lvl w:ilvl="0" w:tplc="00120784">
      <w:start w:val="1"/>
      <w:numFmt w:val="bullet"/>
      <w:lvlText w:val="•"/>
      <w:lvlJc w:val="left"/>
      <w:pPr>
        <w:ind w:left="540" w:hanging="270"/>
      </w:pPr>
    </w:lvl>
    <w:lvl w:ilvl="1" w:tplc="9BB612EC">
      <w:numFmt w:val="decimal"/>
      <w:lvlText w:val=""/>
      <w:lvlJc w:val="left"/>
    </w:lvl>
    <w:lvl w:ilvl="2" w:tplc="3AB6AAC0">
      <w:numFmt w:val="decimal"/>
      <w:lvlText w:val=""/>
      <w:lvlJc w:val="left"/>
    </w:lvl>
    <w:lvl w:ilvl="3" w:tplc="FC8C12B2">
      <w:numFmt w:val="decimal"/>
      <w:lvlText w:val=""/>
      <w:lvlJc w:val="left"/>
    </w:lvl>
    <w:lvl w:ilvl="4" w:tplc="8F0AE3C2">
      <w:numFmt w:val="decimal"/>
      <w:lvlText w:val=""/>
      <w:lvlJc w:val="left"/>
    </w:lvl>
    <w:lvl w:ilvl="5" w:tplc="4D02AE96">
      <w:numFmt w:val="decimal"/>
      <w:lvlText w:val=""/>
      <w:lvlJc w:val="left"/>
    </w:lvl>
    <w:lvl w:ilvl="6" w:tplc="3576631E">
      <w:numFmt w:val="decimal"/>
      <w:lvlText w:val=""/>
      <w:lvlJc w:val="left"/>
    </w:lvl>
    <w:lvl w:ilvl="7" w:tplc="E0E4386C">
      <w:numFmt w:val="decimal"/>
      <w:lvlText w:val=""/>
      <w:lvlJc w:val="left"/>
    </w:lvl>
    <w:lvl w:ilvl="8" w:tplc="0EC4F2DE">
      <w:numFmt w:val="decimal"/>
      <w:lvlText w:val=""/>
      <w:lvlJc w:val="left"/>
    </w:lvl>
  </w:abstractNum>
  <w:num w:numId="1" w16cid:durableId="1616402196">
    <w:abstractNumId w:val="0"/>
    <w:lvlOverride w:ilvl="0">
      <w:startOverride w:val="1"/>
    </w:lvlOverride>
  </w:num>
  <w:num w:numId="2" w16cid:durableId="20992091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33"/>
    <w:rsid w:val="003D1583"/>
    <w:rsid w:val="006678BE"/>
    <w:rsid w:val="00801333"/>
    <w:rsid w:val="00B07AE3"/>
    <w:rsid w:val="00B4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EA89"/>
  <w15:docId w15:val="{43505537-02C8-4264-A6DB-F1312EFD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D3A"/>
      <w:sz w:val="32"/>
      <w:szCs w:val="32"/>
    </w:rPr>
  </w:style>
  <w:style w:type="paragraph" w:styleId="Heading2">
    <w:name w:val="heading 2"/>
    <w:uiPriority w:val="9"/>
    <w:unhideWhenUsed/>
    <w:qFormat/>
    <w:pPr>
      <w:spacing w:before="220" w:after="100"/>
      <w:outlineLvl w:val="1"/>
    </w:pPr>
    <w:rPr>
      <w:b/>
      <w:bCs/>
      <w:color w:val="2F3E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Location Analysis Report</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Analysis Report</dc:title>
  <dc:creator>G Arjun</dc:creator>
  <cp:lastModifiedBy>BONEY BINOY</cp:lastModifiedBy>
  <cp:revision>2</cp:revision>
  <dcterms:created xsi:type="dcterms:W3CDTF">2026-10-24T12:55:00Z</dcterms:created>
  <dcterms:modified xsi:type="dcterms:W3CDTF">2026-10-24T12:55:00Z</dcterms:modified>
</cp:coreProperties>
</file>