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C84EB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</w:rPr>
      </w:pPr>
    </w:p>
    <w:p w14:paraId="6C80A47D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</w:rPr>
      </w:pPr>
    </w:p>
    <w:p w14:paraId="7A63CD09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</w:rPr>
      </w:pPr>
    </w:p>
    <w:p w14:paraId="4BED7117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</w:rPr>
      </w:pPr>
    </w:p>
    <w:p w14:paraId="02345753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</w:rPr>
      </w:pPr>
    </w:p>
    <w:p w14:paraId="0675F124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</w:rPr>
      </w:pPr>
    </w:p>
    <w:p w14:paraId="5366C14D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70C0"/>
          <w:sz w:val="56"/>
          <w:lang w:eastAsia="zh-CN"/>
        </w:rPr>
        <w:t>WebRTC 技术预研可行性</w:t>
      </w:r>
    </w:p>
    <w:p w14:paraId="0F21D84E">
      <w:pPr>
        <w:bidi w:val="0"/>
        <w:jc w:val="center"/>
        <w:rPr>
          <w:rFonts w:hint="eastAsia" w:ascii="微软雅黑" w:hAnsi="微软雅黑" w:eastAsia="微软雅黑" w:cs="微软雅黑"/>
          <w:b/>
          <w:color w:val="0070C0"/>
          <w:sz w:val="5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70C0"/>
          <w:sz w:val="56"/>
          <w:lang w:eastAsia="zh-CN"/>
        </w:rPr>
        <w:t>及实施方案评审</w:t>
      </w:r>
    </w:p>
    <w:p w14:paraId="475CE898">
      <w:pPr>
        <w:bidi w:val="0"/>
        <w:jc w:val="center"/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</w:pPr>
    </w:p>
    <w:p w14:paraId="78542FE6">
      <w:pPr>
        <w:bidi w:val="0"/>
        <w:jc w:val="center"/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  <w:t>版本：V1.0.1</w:t>
      </w:r>
    </w:p>
    <w:p w14:paraId="196790DE">
      <w:pPr>
        <w:bidi w:val="0"/>
        <w:jc w:val="center"/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  <w:t>日期：2026-03-04</w:t>
      </w:r>
    </w:p>
    <w:p w14:paraId="26EC01B9">
      <w:pPr>
        <w:bidi w:val="0"/>
        <w:jc w:val="center"/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  <w:t>编制：朱正清</w:t>
      </w:r>
    </w:p>
    <w:p w14:paraId="5C1DA1F3">
      <w:pPr>
        <w:bidi w:val="0"/>
        <w:jc w:val="center"/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808080"/>
          <w:sz w:val="28"/>
          <w:lang w:eastAsia="zh-CN"/>
        </w:rPr>
        <w:t>状态：评审中</w:t>
      </w:r>
    </w:p>
    <w:p w14:paraId="68277432">
      <w:pPr>
        <w:bidi w:val="0"/>
        <w:jc w:val="center"/>
        <w:rPr>
          <w:rFonts w:hint="eastAsia" w:ascii="微软雅黑" w:hAnsi="微软雅黑" w:eastAsia="微软雅黑" w:cs="微软雅黑"/>
          <w:b w:val="0"/>
          <w:color w:val="999999"/>
          <w:sz w:val="22"/>
          <w:lang w:eastAsia="zh-CN"/>
        </w:rPr>
      </w:pPr>
    </w:p>
    <w:p w14:paraId="0514D554">
      <w:pPr>
        <w:bidi w:val="0"/>
        <w:jc w:val="center"/>
        <w:rPr>
          <w:rFonts w:hint="eastAsia" w:ascii="微软雅黑" w:hAnsi="微软雅黑" w:eastAsia="微软雅黑" w:cs="微软雅黑"/>
          <w:b w:val="0"/>
          <w:color w:val="999999"/>
          <w:sz w:val="22"/>
          <w:lang w:eastAsia="zh-CN"/>
        </w:rPr>
      </w:pPr>
    </w:p>
    <w:p w14:paraId="6D7A7D19">
      <w:pPr>
        <w:bidi w:val="0"/>
        <w:jc w:val="center"/>
        <w:rPr>
          <w:rFonts w:hint="eastAsia" w:ascii="微软雅黑" w:hAnsi="微软雅黑" w:eastAsia="微软雅黑" w:cs="微软雅黑"/>
          <w:b w:val="0"/>
          <w:color w:val="999999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999999"/>
          <w:sz w:val="22"/>
          <w:lang w:eastAsia="zh-CN"/>
        </w:rPr>
        <w:t>本文档为内部评审资料，未经授权请勿外传</w:t>
      </w:r>
    </w:p>
    <w:p w14:paraId="6C555A3B">
      <w:pPr>
        <w:rPr>
          <w:rFonts w:hint="eastAsia" w:ascii="微软雅黑" w:hAnsi="微软雅黑" w:eastAsia="微软雅黑" w:cs="微软雅黑"/>
          <w:b w:val="0"/>
          <w:color w:val="999999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999999"/>
          <w:sz w:val="22"/>
          <w:lang w:eastAsia="zh-CN"/>
        </w:rPr>
        <w:br w:type="page"/>
      </w:r>
    </w:p>
    <w:p w14:paraId="4A56A84E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版本历史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7D29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10" w:type="dxa"/>
            <w:shd w:val="clear" w:color="auto" w:fill="0070C0"/>
          </w:tcPr>
          <w:p w14:paraId="660C1AC0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版本号</w:t>
            </w:r>
          </w:p>
        </w:tc>
        <w:tc>
          <w:tcPr>
            <w:tcW w:w="2310" w:type="dxa"/>
            <w:shd w:val="clear" w:color="auto" w:fill="0070C0"/>
          </w:tcPr>
          <w:p w14:paraId="0E1CD8A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日期</w:t>
            </w:r>
          </w:p>
        </w:tc>
        <w:tc>
          <w:tcPr>
            <w:tcW w:w="2311" w:type="dxa"/>
            <w:shd w:val="clear" w:color="auto" w:fill="0070C0"/>
          </w:tcPr>
          <w:p w14:paraId="0D3F21C2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修订人</w:t>
            </w:r>
          </w:p>
        </w:tc>
        <w:tc>
          <w:tcPr>
            <w:tcW w:w="2311" w:type="dxa"/>
            <w:shd w:val="clear" w:color="auto" w:fill="0070C0"/>
          </w:tcPr>
          <w:p w14:paraId="0A90020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修订内容</w:t>
            </w:r>
          </w:p>
        </w:tc>
      </w:tr>
      <w:tr w14:paraId="24A7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2F2E46D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V1.0.0</w:t>
            </w:r>
          </w:p>
        </w:tc>
        <w:tc>
          <w:tcPr>
            <w:tcW w:w="2310" w:type="dxa"/>
          </w:tcPr>
          <w:p w14:paraId="372E765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2026-03-04</w:t>
            </w:r>
          </w:p>
        </w:tc>
        <w:tc>
          <w:tcPr>
            <w:tcW w:w="2311" w:type="dxa"/>
          </w:tcPr>
          <w:p w14:paraId="7B3C75D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</w:t>
            </w:r>
          </w:p>
        </w:tc>
        <w:tc>
          <w:tcPr>
            <w:tcW w:w="2311" w:type="dxa"/>
          </w:tcPr>
          <w:p w14:paraId="1691F8B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初稿编制</w:t>
            </w:r>
          </w:p>
        </w:tc>
      </w:tr>
      <w:tr w14:paraId="5C40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6AFCBF1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V1.0.1</w:t>
            </w:r>
          </w:p>
        </w:tc>
        <w:tc>
          <w:tcPr>
            <w:tcW w:w="2310" w:type="dxa"/>
          </w:tcPr>
          <w:p w14:paraId="0271F28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2026-03-04</w:t>
            </w:r>
          </w:p>
        </w:tc>
        <w:tc>
          <w:tcPr>
            <w:tcW w:w="2311" w:type="dxa"/>
          </w:tcPr>
          <w:p w14:paraId="0EA711E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</w:t>
            </w:r>
          </w:p>
        </w:tc>
        <w:tc>
          <w:tcPr>
            <w:tcW w:w="2311" w:type="dxa"/>
          </w:tcPr>
          <w:p w14:paraId="2062B4B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优化文档结构与排版；补充技术可行性评估、风险矩阵、成本分析、验收标准等章节；修正技术描述</w:t>
            </w:r>
          </w:p>
        </w:tc>
      </w:tr>
    </w:tbl>
    <w:p w14:paraId="695355A7">
      <w:pPr>
        <w:rPr>
          <w:rFonts w:hint="eastAsia"/>
          <w:lang w:eastAsia="zh-CN"/>
        </w:rPr>
      </w:pPr>
    </w:p>
    <w:p w14:paraId="3AAA589B">
      <w:pPr>
        <w:bidi w:val="0"/>
        <w:rPr>
          <w:rFonts w:hint="eastAsia"/>
          <w:sz w:val="12"/>
          <w:lang w:eastAsia="zh-CN"/>
        </w:rPr>
      </w:pPr>
    </w:p>
    <w:p w14:paraId="74A3A9EC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目录</w:t>
      </w:r>
    </w:p>
    <w:p w14:paraId="4EFC6083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（请在 Word 中插入自动目录：引用 &gt; 目录 &gt; 自动目录）</w:t>
      </w:r>
    </w:p>
    <w:p w14:paraId="28272576">
      <w:pP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br w:type="page"/>
      </w:r>
    </w:p>
    <w:p w14:paraId="54905637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1. 会议基本信息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10"/>
        <w:gridCol w:w="6932"/>
      </w:tblGrid>
      <w:tr w14:paraId="36CE4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  <w:shd w:val="clear" w:color="auto" w:fill="0070C0"/>
          </w:tcPr>
          <w:p w14:paraId="5AD6EC5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会议主题</w:t>
            </w:r>
          </w:p>
        </w:tc>
        <w:tc>
          <w:tcPr>
            <w:tcW w:w="3750" w:type="pct"/>
            <w:shd w:val="clear" w:color="auto" w:fill="0070C0"/>
          </w:tcPr>
          <w:p w14:paraId="24CBD00C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WebRTC 技术预研可行性及实施方案评审</w:t>
            </w:r>
          </w:p>
        </w:tc>
      </w:tr>
      <w:tr w14:paraId="1C2D0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1AE3887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会议时间</w:t>
            </w:r>
          </w:p>
        </w:tc>
        <w:tc>
          <w:tcPr>
            <w:tcW w:w="3750" w:type="pct"/>
          </w:tcPr>
          <w:p w14:paraId="1321D3A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2026-03-04 14:00 ~ 16:00</w:t>
            </w:r>
          </w:p>
        </w:tc>
      </w:tr>
      <w:tr w14:paraId="1BFF4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0B208D9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会议地点</w:t>
            </w:r>
          </w:p>
        </w:tc>
        <w:tc>
          <w:tcPr>
            <w:tcW w:w="3750" w:type="pct"/>
          </w:tcPr>
          <w:p w14:paraId="365846A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中大 10-4-5 会议室</w:t>
            </w:r>
          </w:p>
        </w:tc>
      </w:tr>
      <w:tr w14:paraId="6CEF5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585DBEF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主持人</w:t>
            </w:r>
          </w:p>
        </w:tc>
        <w:tc>
          <w:tcPr>
            <w:tcW w:w="3750" w:type="pct"/>
          </w:tcPr>
          <w:p w14:paraId="2A7A62D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</w:t>
            </w:r>
          </w:p>
        </w:tc>
      </w:tr>
      <w:tr w14:paraId="1A3E6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4C70E99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参会人员</w:t>
            </w:r>
          </w:p>
        </w:tc>
        <w:tc>
          <w:tcPr>
            <w:tcW w:w="3750" w:type="pct"/>
          </w:tcPr>
          <w:p w14:paraId="5DD72E1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朱正清、金博、陈泽丰、许杭、郑靖森、张健、周振华、姜伟军</w:t>
            </w:r>
          </w:p>
        </w:tc>
      </w:tr>
      <w:tr w14:paraId="3C7CD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29B24D3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会议目的</w:t>
            </w:r>
          </w:p>
        </w:tc>
        <w:tc>
          <w:tcPr>
            <w:tcW w:w="3750" w:type="pct"/>
          </w:tcPr>
          <w:p w14:paraId="7EAF0D2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评审是否启动 WebRTC 技术预研项目，明确预研方向、资源投入及验收标准，为后续技术决策提供依据</w:t>
            </w:r>
          </w:p>
        </w:tc>
      </w:tr>
      <w:tr w14:paraId="3108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50" w:type="pct"/>
          </w:tcPr>
          <w:p w14:paraId="5EFED0A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文档版本</w:t>
            </w:r>
          </w:p>
        </w:tc>
        <w:tc>
          <w:tcPr>
            <w:tcW w:w="3750" w:type="pct"/>
          </w:tcPr>
          <w:p w14:paraId="3E594D5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V1.0.1</w:t>
            </w:r>
          </w:p>
        </w:tc>
      </w:tr>
    </w:tbl>
    <w:p w14:paraId="69D84C38">
      <w:pPr>
        <w:rPr>
          <w:rFonts w:hint="eastAsia"/>
          <w:lang w:eastAsia="zh-CN"/>
        </w:rPr>
      </w:pPr>
    </w:p>
    <w:p w14:paraId="31290F5F">
      <w:pPr>
        <w:bidi w:val="0"/>
        <w:rPr>
          <w:rFonts w:hint="eastAsia"/>
          <w:sz w:val="12"/>
          <w:lang w:eastAsia="zh-CN"/>
        </w:rPr>
      </w:pPr>
    </w:p>
    <w:p w14:paraId="1BA2A66F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2. 会议议程概览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0"/>
        <w:gridCol w:w="3081"/>
        <w:gridCol w:w="3081"/>
      </w:tblGrid>
      <w:tr w14:paraId="207F3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080" w:type="dxa"/>
            <w:shd w:val="clear" w:color="auto" w:fill="0070C0"/>
          </w:tcPr>
          <w:p w14:paraId="75F756A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序号</w:t>
            </w:r>
          </w:p>
        </w:tc>
        <w:tc>
          <w:tcPr>
            <w:tcW w:w="3081" w:type="dxa"/>
            <w:shd w:val="clear" w:color="auto" w:fill="0070C0"/>
          </w:tcPr>
          <w:p w14:paraId="6DD99429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议程内容</w:t>
            </w:r>
          </w:p>
        </w:tc>
        <w:tc>
          <w:tcPr>
            <w:tcW w:w="3081" w:type="dxa"/>
            <w:shd w:val="clear" w:color="auto" w:fill="0070C0"/>
          </w:tcPr>
          <w:p w14:paraId="3CDA5C6A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预计时长</w:t>
            </w:r>
          </w:p>
        </w:tc>
      </w:tr>
      <w:tr w14:paraId="79B8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1ED74F3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</w:t>
            </w:r>
          </w:p>
        </w:tc>
        <w:tc>
          <w:tcPr>
            <w:tcW w:w="3081" w:type="dxa"/>
          </w:tcPr>
          <w:p w14:paraId="1D18546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背景与问题陈述</w:t>
            </w:r>
          </w:p>
        </w:tc>
        <w:tc>
          <w:tcPr>
            <w:tcW w:w="3081" w:type="dxa"/>
          </w:tcPr>
          <w:p w14:paraId="46C3D61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10 分钟</w:t>
            </w:r>
          </w:p>
        </w:tc>
      </w:tr>
      <w:tr w14:paraId="240CC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0FA2312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2</w:t>
            </w:r>
          </w:p>
        </w:tc>
        <w:tc>
          <w:tcPr>
            <w:tcW w:w="3081" w:type="dxa"/>
          </w:tcPr>
          <w:p w14:paraId="7471B67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业务影响与价值分析</w:t>
            </w:r>
          </w:p>
        </w:tc>
        <w:tc>
          <w:tcPr>
            <w:tcW w:w="3081" w:type="dxa"/>
          </w:tcPr>
          <w:p w14:paraId="0AE0F8C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10 分钟</w:t>
            </w:r>
          </w:p>
        </w:tc>
      </w:tr>
      <w:tr w14:paraId="635E8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1EDF847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3</w:t>
            </w:r>
          </w:p>
        </w:tc>
        <w:tc>
          <w:tcPr>
            <w:tcW w:w="3081" w:type="dxa"/>
          </w:tcPr>
          <w:p w14:paraId="6CE244F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传输协议技术对比分析</w:t>
            </w:r>
          </w:p>
        </w:tc>
        <w:tc>
          <w:tcPr>
            <w:tcW w:w="3081" w:type="dxa"/>
          </w:tcPr>
          <w:p w14:paraId="0359009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15 分钟</w:t>
            </w:r>
          </w:p>
        </w:tc>
      </w:tr>
      <w:tr w14:paraId="2AF3F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219B560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4</w:t>
            </w:r>
          </w:p>
        </w:tc>
        <w:tc>
          <w:tcPr>
            <w:tcW w:w="3081" w:type="dxa"/>
          </w:tcPr>
          <w:p w14:paraId="5477719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WebRTC 技术优势深度解析</w:t>
            </w:r>
          </w:p>
        </w:tc>
        <w:tc>
          <w:tcPr>
            <w:tcW w:w="3081" w:type="dxa"/>
          </w:tcPr>
          <w:p w14:paraId="3CE2F9A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15 分钟</w:t>
            </w:r>
          </w:p>
        </w:tc>
      </w:tr>
      <w:tr w14:paraId="41D2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4415B66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5</w:t>
            </w:r>
          </w:p>
        </w:tc>
        <w:tc>
          <w:tcPr>
            <w:tcW w:w="3081" w:type="dxa"/>
          </w:tcPr>
          <w:p w14:paraId="03FBE36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技术可行性评估与风险分析</w:t>
            </w:r>
          </w:p>
        </w:tc>
        <w:tc>
          <w:tcPr>
            <w:tcW w:w="3081" w:type="dxa"/>
          </w:tcPr>
          <w:p w14:paraId="3B4F8B6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15 分钟</w:t>
            </w:r>
          </w:p>
        </w:tc>
      </w:tr>
      <w:tr w14:paraId="3A2E1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3A9A689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6</w:t>
            </w:r>
          </w:p>
        </w:tc>
        <w:tc>
          <w:tcPr>
            <w:tcW w:w="3081" w:type="dxa"/>
          </w:tcPr>
          <w:p w14:paraId="116161D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实施方案与阶段规划</w:t>
            </w:r>
          </w:p>
        </w:tc>
        <w:tc>
          <w:tcPr>
            <w:tcW w:w="3081" w:type="dxa"/>
          </w:tcPr>
          <w:p w14:paraId="67034DA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15 分钟</w:t>
            </w:r>
          </w:p>
        </w:tc>
      </w:tr>
      <w:tr w14:paraId="57AAA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15D29D6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7</w:t>
            </w:r>
          </w:p>
        </w:tc>
        <w:tc>
          <w:tcPr>
            <w:tcW w:w="3081" w:type="dxa"/>
          </w:tcPr>
          <w:p w14:paraId="0786B1B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自研 vs 第三方方案对比及成本分析</w:t>
            </w:r>
          </w:p>
        </w:tc>
        <w:tc>
          <w:tcPr>
            <w:tcW w:w="3081" w:type="dxa"/>
          </w:tcPr>
          <w:p w14:paraId="5842433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10 分钟</w:t>
            </w:r>
          </w:p>
        </w:tc>
      </w:tr>
      <w:tr w14:paraId="331CF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19D39B1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8</w:t>
            </w:r>
          </w:p>
        </w:tc>
        <w:tc>
          <w:tcPr>
            <w:tcW w:w="3081" w:type="dxa"/>
          </w:tcPr>
          <w:p w14:paraId="3988784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决策讨论与问答</w:t>
            </w:r>
          </w:p>
        </w:tc>
        <w:tc>
          <w:tcPr>
            <w:tcW w:w="3081" w:type="dxa"/>
          </w:tcPr>
          <w:p w14:paraId="67F0E4B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30 分钟</w:t>
            </w:r>
          </w:p>
        </w:tc>
      </w:tr>
    </w:tbl>
    <w:p w14:paraId="07CE2DA5">
      <w:pPr>
        <w:rPr>
          <w:rFonts w:hint="eastAsia"/>
          <w:lang w:eastAsia="zh-CN"/>
        </w:rPr>
      </w:pPr>
    </w:p>
    <w:p w14:paraId="0B8FEA2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03F6E8B2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3. 背景与问题陈述</w:t>
      </w:r>
    </w:p>
    <w:p w14:paraId="2B35801E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3.1 当前技术现状</w:t>
      </w:r>
    </w:p>
    <w:p w14:paraId="0CEF9BA4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当前 Q25 项目中，多功能操作终端的视频取流采用 RTSP over TCP 协议实现。该方案在可靠性方面表现稳定，但在实时性和弱网适应性方面存在明显不足。</w:t>
      </w:r>
    </w:p>
    <w:p w14:paraId="1E6B6300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3.2 核心痛点</w:t>
      </w:r>
    </w:p>
    <w:p w14:paraId="00CEF7E5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延迟偏高：实际应用场景中端到端延时约 250ms，未能满足产品要求的 200ms 以内延时指标。</w:t>
      </w:r>
    </w:p>
    <w:p w14:paraId="4EB893B4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弱网表现差：在网络质量波动或带宽受限的环境下，TCP 的重传机制导致传输不稳定，易出现画面卡顿和延迟累积。</w:t>
      </w:r>
    </w:p>
    <w:p w14:paraId="76504E4D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扩展性受限：RTSP 协议在跨平台部署、浏览器集成等方面缺乏原生支持，增加了客户端适配成本。</w:t>
      </w:r>
    </w:p>
    <w:p w14:paraId="30021618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3.3 引入 WebRTC 的初衷</w:t>
      </w:r>
    </w:p>
    <w:p w14:paraId="356855FB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借助 WebRTC 协议栈的技术优势（超低延迟、内置拥塞控制与抗弱网机制、浏览器原生支持），探索替代或补充现有 RTSP over TCP 方案的可能性，以提升产品实时音视频传输的综合体验。</w:t>
      </w:r>
    </w:p>
    <w:p w14:paraId="10BD5074">
      <w:pPr>
        <w:bidi w:val="0"/>
        <w:rPr>
          <w:rFonts w:hint="eastAsia"/>
          <w:sz w:val="12"/>
          <w:lang w:eastAsia="zh-CN"/>
        </w:rPr>
      </w:pPr>
    </w:p>
    <w:p w14:paraId="1E9A9414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4. 业务影响与价值分析</w:t>
      </w:r>
    </w:p>
    <w:p w14:paraId="46295F48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4.1 业务价值</w:t>
      </w:r>
    </w:p>
    <w:p w14:paraId="7A9F4658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用户体验提升：WebRTC 的超低延迟（目标 &lt; 200ms）和强抗弱网能力可显著改善终端实时视频的流畅度与响应速度。</w:t>
      </w:r>
    </w:p>
    <w:p w14:paraId="72F16EB8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产品竞争力增强：支持浏览器直接接入视频流，拓展 Web 端应用场景，降低客户端部署门槛。</w:t>
      </w:r>
    </w:p>
    <w:p w14:paraId="1A48A71A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业务场景拓展：为后续远程协同、实时标注、多方视频会议等高交互场景奠定技术基础。</w:t>
      </w:r>
    </w:p>
    <w:p w14:paraId="36139035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4.2 技术价值</w:t>
      </w:r>
    </w:p>
    <w:p w14:paraId="3DC820D7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技术自主可控：团队掌握 WebRTC 核心技术栈，形成可复用的音视频传输公共库，减少对第三方 SDK 的依赖。</w:t>
      </w:r>
    </w:p>
    <w:p w14:paraId="4D11E698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架构前瞻性：WebRTC 作为 W3C/IETF 标准协议，生态成熟且持续演进，有利于技术栈的长期可维护性。</w:t>
      </w:r>
    </w:p>
    <w:p w14:paraId="6F85867F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能力沉淀：通过预研积累音视频传输、网络自适应、编解码优化等核心能力，为团队技术成长提供支撑。</w:t>
      </w:r>
    </w:p>
    <w:p w14:paraId="09DF74F2">
      <w:pPr>
        <w:bidi w:val="0"/>
        <w:rPr>
          <w:rFonts w:hint="eastAsia"/>
          <w:sz w:val="12"/>
          <w:lang w:eastAsia="zh-CN"/>
        </w:rPr>
      </w:pPr>
    </w:p>
    <w:p w14:paraId="529C0D70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5. 传输协议技术对比分析</w:t>
      </w:r>
    </w:p>
    <w:p w14:paraId="150AAE85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5.1 协议概述</w:t>
      </w:r>
    </w:p>
    <w:p w14:paraId="0718FFA3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为全面评估技术选型的合理性，从传输协议、延迟特性、抗弱网能力、安全性、部署复杂度、浏览器兼容性等多个维度对 RTSP over TCP、RTSP over UDP 和 WebRTC 三种方案进行对比分析。</w:t>
      </w:r>
    </w:p>
    <w:p w14:paraId="38604C1A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5.2 多维度对比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582C4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  <w:shd w:val="clear" w:color="auto" w:fill="0070C0"/>
          </w:tcPr>
          <w:p w14:paraId="769F3BA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对比维度</w:t>
            </w:r>
          </w:p>
        </w:tc>
        <w:tc>
          <w:tcPr>
            <w:tcW w:w="2310" w:type="dxa"/>
            <w:shd w:val="clear" w:color="auto" w:fill="0070C0"/>
          </w:tcPr>
          <w:p w14:paraId="6F01D33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RTSP over TCP</w:t>
            </w:r>
          </w:p>
        </w:tc>
        <w:tc>
          <w:tcPr>
            <w:tcW w:w="2311" w:type="dxa"/>
            <w:shd w:val="clear" w:color="auto" w:fill="0070C0"/>
          </w:tcPr>
          <w:p w14:paraId="40F9823D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RTSP over UDP</w:t>
            </w:r>
          </w:p>
        </w:tc>
        <w:tc>
          <w:tcPr>
            <w:tcW w:w="2311" w:type="dxa"/>
            <w:shd w:val="clear" w:color="auto" w:fill="0070C0"/>
          </w:tcPr>
          <w:p w14:paraId="2CE51565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WebRTC</w:t>
            </w:r>
          </w:p>
        </w:tc>
      </w:tr>
      <w:tr w14:paraId="6398C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29D0CB6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协议基础</w:t>
            </w:r>
          </w:p>
        </w:tc>
        <w:tc>
          <w:tcPr>
            <w:tcW w:w="2310" w:type="dxa"/>
          </w:tcPr>
          <w:p w14:paraId="3BF15C9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控制信令与媒体数据（RTP/RTCP）复用同一 TCP 连接传输（交织模式）</w:t>
            </w:r>
          </w:p>
        </w:tc>
        <w:tc>
          <w:tcPr>
            <w:tcW w:w="2311" w:type="dxa"/>
          </w:tcPr>
          <w:p w14:paraId="3F58377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控制信令走 TCP，媒体数据（RTP/RTCP）通过独立 UDP 端口传输</w:t>
            </w:r>
          </w:p>
        </w:tc>
        <w:tc>
          <w:tcPr>
            <w:tcW w:w="2311" w:type="dxa"/>
          </w:tcPr>
          <w:p w14:paraId="4B08F01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基于 UDP 的 SRTP 进行媒体加密传输，结合 GCC 拥塞控制与 FEC 前向纠错机制</w:t>
            </w:r>
          </w:p>
        </w:tc>
      </w:tr>
      <w:tr w14:paraId="098F9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05609FF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传输延迟</w:t>
            </w:r>
          </w:p>
        </w:tc>
        <w:tc>
          <w:tcPr>
            <w:tcW w:w="2310" w:type="dxa"/>
          </w:tcPr>
          <w:p w14:paraId="55E59B0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较高：TCP 队头阻塞与重传机制引入额外延迟</w:t>
            </w:r>
          </w:p>
        </w:tc>
        <w:tc>
          <w:tcPr>
            <w:tcW w:w="2311" w:type="dxa"/>
          </w:tcPr>
          <w:p w14:paraId="37BDD7A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较低：UDP 无连接特性避免队头阻塞，但缺乏拥塞控制</w:t>
            </w:r>
          </w:p>
        </w:tc>
        <w:tc>
          <w:tcPr>
            <w:tcW w:w="2311" w:type="dxa"/>
          </w:tcPr>
          <w:p w14:paraId="71AB4A5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极低：UDP + SRTP 传输，配合 FEC/NACK 优化，端到端延迟可控制在 200ms 以内</w:t>
            </w:r>
          </w:p>
        </w:tc>
      </w:tr>
      <w:tr w14:paraId="0A6F5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5B3B0F4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抗弱网能力</w:t>
            </w:r>
          </w:p>
        </w:tc>
        <w:tc>
          <w:tcPr>
            <w:tcW w:w="2310" w:type="dxa"/>
          </w:tcPr>
          <w:p w14:paraId="7B44D72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弱：丢包触发重传导致延迟累积和卡顿</w:t>
            </w:r>
          </w:p>
        </w:tc>
        <w:tc>
          <w:tcPr>
            <w:tcW w:w="2311" w:type="dxa"/>
          </w:tcPr>
          <w:p w14:paraId="16D5AFE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弱：无内置抗弱网机制，丢包直接导致花屏或中断</w:t>
            </w:r>
          </w:p>
        </w:tc>
        <w:tc>
          <w:tcPr>
            <w:tcW w:w="2311" w:type="dxa"/>
          </w:tcPr>
          <w:p w14:paraId="0B05EF9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强：内置 GCC、FEC、NACK、自适应 Jitter Buffer，可在 30% 丢包率下保持流畅</w:t>
            </w:r>
          </w:p>
        </w:tc>
      </w:tr>
      <w:tr w14:paraId="3629D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7CB586E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核心优势</w:t>
            </w:r>
          </w:p>
        </w:tc>
        <w:tc>
          <w:tcPr>
            <w:tcW w:w="2310" w:type="dxa"/>
          </w:tcPr>
          <w:p w14:paraId="2B07932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高可靠性：TCP 保证数据完整有序；穿透性好：仅需 1 个 TCP 端口</w:t>
            </w:r>
          </w:p>
        </w:tc>
        <w:tc>
          <w:tcPr>
            <w:tcW w:w="2311" w:type="dxa"/>
          </w:tcPr>
          <w:p w14:paraId="0D4ADC0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实时性较好：无队头阻塞；封包简单：处理效率高</w:t>
            </w:r>
          </w:p>
        </w:tc>
        <w:tc>
          <w:tcPr>
            <w:tcW w:w="2311" w:type="dxa"/>
          </w:tcPr>
          <w:p w14:paraId="195451B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超低延迟；强抗弱网；浏览器原生支持；内置 SRTP 加密；P2P 架构降低服务端负载</w:t>
            </w:r>
          </w:p>
        </w:tc>
      </w:tr>
      <w:tr w14:paraId="39C0F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249D6F8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核心劣势</w:t>
            </w:r>
          </w:p>
        </w:tc>
        <w:tc>
          <w:tcPr>
            <w:tcW w:w="2310" w:type="dxa"/>
          </w:tcPr>
          <w:p w14:paraId="7C5AD11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队头阻塞导致延迟和卡顿；交织封包增加处理复杂度</w:t>
            </w:r>
          </w:p>
        </w:tc>
        <w:tc>
          <w:tcPr>
            <w:tcW w:w="2311" w:type="dxa"/>
          </w:tcPr>
          <w:p w14:paraId="14CF94F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不可靠传输：丢包导致花屏；端口占用多，NAT 穿透困难</w:t>
            </w:r>
          </w:p>
        </w:tc>
        <w:tc>
          <w:tcPr>
            <w:tcW w:w="2311" w:type="dxa"/>
          </w:tcPr>
          <w:p w14:paraId="5CFA6EA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架构复杂度高；信令未标准化需自行实现；NAT 穿透依赖 STUN/TURN 辅助服务</w:t>
            </w:r>
          </w:p>
        </w:tc>
      </w:tr>
      <w:tr w14:paraId="1A1DD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7C62A7A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安全性</w:t>
            </w:r>
          </w:p>
        </w:tc>
        <w:tc>
          <w:tcPr>
            <w:tcW w:w="2310" w:type="dxa"/>
          </w:tcPr>
          <w:p w14:paraId="524FC47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可叠加 TLS 加密，但需额外配置</w:t>
            </w:r>
          </w:p>
        </w:tc>
        <w:tc>
          <w:tcPr>
            <w:tcW w:w="2311" w:type="dxa"/>
          </w:tcPr>
          <w:p w14:paraId="7AD1452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媒体默认不加密，需额外实现 DTLS/SRTP</w:t>
            </w:r>
          </w:p>
        </w:tc>
        <w:tc>
          <w:tcPr>
            <w:tcW w:w="2311" w:type="dxa"/>
          </w:tcPr>
          <w:p w14:paraId="1881A7E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内置 SRTP 加密 + DTLS 密钥协商，安全性开箱即用</w:t>
            </w:r>
          </w:p>
        </w:tc>
      </w:tr>
      <w:tr w14:paraId="1CC85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14752A9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端口与连接</w:t>
            </w:r>
          </w:p>
        </w:tc>
        <w:tc>
          <w:tcPr>
            <w:tcW w:w="2310" w:type="dxa"/>
          </w:tcPr>
          <w:p w14:paraId="0385766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1 个端口：TCP 554 端口复用控制与媒体数据</w:t>
            </w:r>
          </w:p>
        </w:tc>
        <w:tc>
          <w:tcPr>
            <w:tcW w:w="2311" w:type="dxa"/>
          </w:tcPr>
          <w:p w14:paraId="49BA4A2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3~5 个端口：1 个 TCP + 每路媒体各 1 对 RTP/RTCP UDP 端口</w:t>
            </w:r>
          </w:p>
        </w:tc>
        <w:tc>
          <w:tcPr>
            <w:tcW w:w="2311" w:type="dxa"/>
          </w:tcPr>
          <w:p w14:paraId="7831A8D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动态端口：通过 ICE 协商动态分配 UDP 端口</w:t>
            </w:r>
          </w:p>
        </w:tc>
      </w:tr>
      <w:tr w14:paraId="51A97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1A52D10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浏览器支持</w:t>
            </w:r>
          </w:p>
        </w:tc>
        <w:tc>
          <w:tcPr>
            <w:tcW w:w="2310" w:type="dxa"/>
          </w:tcPr>
          <w:p w14:paraId="5261D93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不支持：需专用播放器（VLC/FFmpeg 等）</w:t>
            </w:r>
          </w:p>
        </w:tc>
        <w:tc>
          <w:tcPr>
            <w:tcW w:w="2311" w:type="dxa"/>
          </w:tcPr>
          <w:p w14:paraId="6B4795F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不支持：需专用播放器</w:t>
            </w:r>
          </w:p>
        </w:tc>
        <w:tc>
          <w:tcPr>
            <w:tcW w:w="2311" w:type="dxa"/>
          </w:tcPr>
          <w:p w14:paraId="6681C5C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原生支持：Chrome/Firefox/Safari/Edge 均内置支持</w:t>
            </w:r>
          </w:p>
        </w:tc>
      </w:tr>
      <w:tr w14:paraId="664F1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0C8E75D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NAT 穿透</w:t>
            </w:r>
          </w:p>
        </w:tc>
        <w:tc>
          <w:tcPr>
            <w:tcW w:w="2310" w:type="dxa"/>
          </w:tcPr>
          <w:p w14:paraId="2F5BD64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TCP 穿透性较好，但需公网地址或代理</w:t>
            </w:r>
          </w:p>
        </w:tc>
        <w:tc>
          <w:tcPr>
            <w:tcW w:w="2311" w:type="dxa"/>
          </w:tcPr>
          <w:p w14:paraId="7AC6C07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UDP 穿透困难，需 STUN/TURN 辅助</w:t>
            </w:r>
          </w:p>
        </w:tc>
        <w:tc>
          <w:tcPr>
            <w:tcW w:w="2311" w:type="dxa"/>
          </w:tcPr>
          <w:p w14:paraId="7D4481B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内置 ICE 框架，自动完成 STUN/TURN 穿透，成功率高</w:t>
            </w:r>
          </w:p>
        </w:tc>
      </w:tr>
      <w:tr w14:paraId="6A30D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04F634B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典型场景</w:t>
            </w:r>
          </w:p>
        </w:tc>
        <w:tc>
          <w:tcPr>
            <w:tcW w:w="2310" w:type="dxa"/>
          </w:tcPr>
          <w:p w14:paraId="0C7FE3A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安防监控、IPTV、防火墙严格的专业级传输</w:t>
            </w:r>
          </w:p>
        </w:tc>
        <w:tc>
          <w:tcPr>
            <w:tcW w:w="2311" w:type="dxa"/>
          </w:tcPr>
          <w:p w14:paraId="68B6692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局域网监控、无人机图传等可控网络环境</w:t>
            </w:r>
          </w:p>
        </w:tc>
        <w:tc>
          <w:tcPr>
            <w:tcW w:w="2311" w:type="dxa"/>
          </w:tcPr>
          <w:p w14:paraId="3B7E1A3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视频会议、在线教育、远程医疗、直播连麦等实时互动场景</w:t>
            </w:r>
          </w:p>
        </w:tc>
      </w:tr>
    </w:tbl>
    <w:p w14:paraId="03B5338C">
      <w:pPr>
        <w:rPr>
          <w:rFonts w:hint="eastAsia"/>
          <w:lang w:eastAsia="zh-CN"/>
        </w:rPr>
      </w:pPr>
    </w:p>
    <w:p w14:paraId="0A97F5F0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5.3 协议取流时序图</w:t>
      </w:r>
    </w:p>
    <w:p w14:paraId="094015BE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以下为三种协议的典型取流流程示意（客户端与服务端交互、数据包传输、缓冲处理等关键环节）。</w:t>
      </w:r>
    </w:p>
    <w:p w14:paraId="0599C90E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（注：原文档中的三幅时序图请在此处重新插入，分别为 RTSP over TCP、RTSP over UDP、WebRTC 取流时序图）</w:t>
      </w:r>
    </w:p>
    <w:p w14:paraId="350AD38F">
      <w:pP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br w:type="page"/>
      </w:r>
    </w:p>
    <w:p w14:paraId="3044433A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6. WebRTC 技术优势深度解析</w:t>
      </w:r>
    </w:p>
    <w:p w14:paraId="6F3EE05D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6.1 RTSP over TCP 高延迟成因分析</w:t>
      </w:r>
    </w:p>
    <w:p w14:paraId="2E41C63A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为阐明 WebRTC 的技术价值，首先对当前 RTSP over TCP 方案的延迟瓶颈进行系统性分析：</w:t>
      </w:r>
    </w:p>
    <w:p w14:paraId="7F384ECF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6.1.1 网络传输层</w:t>
      </w:r>
    </w:p>
    <w:p w14:paraId="609C1CB9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TCP 重传机制：TCP 的可靠传输特性在发生丢包时触发重传等待，引入额外延迟，且后续数据被阻塞（队头阻塞）。</w:t>
      </w:r>
    </w:p>
    <w:p w14:paraId="492893FB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网络拥塞：带宽不足或路由器排队导致缓冲区膨胀（Bufferbloat），进一步加剧延迟。</w:t>
      </w:r>
    </w:p>
    <w:p w14:paraId="52C6EBAB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MTU 限制：以太网 MTU 为 1500 字节，大帧需要 IP 分片，增加重组开销和丢片风险。</w:t>
      </w:r>
    </w:p>
    <w:p w14:paraId="15398773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6.1.2 应用协议层</w:t>
      </w:r>
    </w:p>
    <w:p w14:paraId="79E45CAD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编码延迟：H.264/H.265 编码算法复杂度高，编码过程本身引入数十毫秒级延迟。</w:t>
      </w:r>
    </w:p>
    <w:p w14:paraId="1EBF8DB7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缓冲区策略：过大的接收缓冲区虽提高流畅度，但以增加延迟为代价。</w:t>
      </w:r>
    </w:p>
    <w:p w14:paraId="0155BD1A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协议开销：RTSP/RTP 协议头解析、交织封装/解封装降低数据处理效率。</w:t>
      </w:r>
    </w:p>
    <w:p w14:paraId="00234266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6.1.3 系统资源层</w:t>
      </w:r>
    </w:p>
    <w:p w14:paraId="2BF9B5F0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CPU 调度延迟：高并发场景下线程上下文切换和调度引入不确定性延迟。</w:t>
      </w:r>
    </w:p>
    <w:p w14:paraId="1431AA29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内存管理：频繁的内存分配与释放导致 GC 压力或内存碎片，影响处理性能。</w:t>
      </w:r>
    </w:p>
    <w:p w14:paraId="2C3863D8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I/O 瓶颈：磁盘读写或网络 I/O 阻塞影响数据流转效率。</w:t>
      </w:r>
    </w:p>
    <w:p w14:paraId="08EEE83B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6.2 WebRTC 针对性解决方案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0"/>
        <w:gridCol w:w="3081"/>
        <w:gridCol w:w="3081"/>
      </w:tblGrid>
      <w:tr w14:paraId="2941B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  <w:shd w:val="clear" w:color="auto" w:fill="0070C0"/>
          </w:tcPr>
          <w:p w14:paraId="7DDF41D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技术模块</w:t>
            </w:r>
          </w:p>
        </w:tc>
        <w:tc>
          <w:tcPr>
            <w:tcW w:w="3081" w:type="dxa"/>
            <w:shd w:val="clear" w:color="auto" w:fill="0070C0"/>
          </w:tcPr>
          <w:p w14:paraId="30B2F9E6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核心机制</w:t>
            </w:r>
          </w:p>
        </w:tc>
        <w:tc>
          <w:tcPr>
            <w:tcW w:w="3081" w:type="dxa"/>
            <w:shd w:val="clear" w:color="auto" w:fill="0070C0"/>
          </w:tcPr>
          <w:p w14:paraId="7C1A8F3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解决的问题</w:t>
            </w:r>
          </w:p>
        </w:tc>
      </w:tr>
      <w:tr w14:paraId="63C5B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407A008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UDP + SRTP 传输</w:t>
            </w:r>
          </w:p>
        </w:tc>
        <w:tc>
          <w:tcPr>
            <w:tcW w:w="3081" w:type="dxa"/>
          </w:tcPr>
          <w:p w14:paraId="280C7BA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基于 UDP 的无连接传输，避免 TCP 队头阻塞和重传延迟，SRTP 提供媒体加密</w:t>
            </w:r>
          </w:p>
        </w:tc>
        <w:tc>
          <w:tcPr>
            <w:tcW w:w="3081" w:type="dxa"/>
          </w:tcPr>
          <w:p w14:paraId="372EFFF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TCP 队头阻塞、重传延迟、传输层加密</w:t>
            </w:r>
          </w:p>
        </w:tc>
      </w:tr>
      <w:tr w14:paraId="26BA0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42AAEFB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GCC 拥塞控制</w:t>
            </w:r>
          </w:p>
        </w:tc>
        <w:tc>
          <w:tcPr>
            <w:tcW w:w="3081" w:type="dxa"/>
          </w:tcPr>
          <w:p w14:paraId="6FCAC68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Google Congestion Control 算法动态监测网络状态，实时调整发送码率，防止网络过载</w:t>
            </w:r>
          </w:p>
        </w:tc>
        <w:tc>
          <w:tcPr>
            <w:tcW w:w="3081" w:type="dxa"/>
          </w:tcPr>
          <w:p w14:paraId="4A70A25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网络拥塞、缓冲区膨胀、码率与延迟的平衡</w:t>
            </w:r>
          </w:p>
        </w:tc>
      </w:tr>
      <w:tr w14:paraId="0BDF5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0FA1046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FEC 前向纠错</w:t>
            </w:r>
          </w:p>
        </w:tc>
        <w:tc>
          <w:tcPr>
            <w:tcW w:w="3081" w:type="dxa"/>
          </w:tcPr>
          <w:p w14:paraId="52AD2A7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发送冗余数据包，接收端无需等待重传即可恢复部分丢失数据</w:t>
            </w:r>
          </w:p>
        </w:tc>
        <w:tc>
          <w:tcPr>
            <w:tcW w:w="3081" w:type="dxa"/>
          </w:tcPr>
          <w:p w14:paraId="688175D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丢包恢复延迟、卡顿</w:t>
            </w:r>
          </w:p>
        </w:tc>
      </w:tr>
      <w:tr w14:paraId="3B488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0F08969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NACK 丢包重传</w:t>
            </w:r>
          </w:p>
        </w:tc>
        <w:tc>
          <w:tcPr>
            <w:tcW w:w="3081" w:type="dxa"/>
          </w:tcPr>
          <w:p w14:paraId="7E251AE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接收端检测丢包后请求重传关键数据包，与 FEC 互补</w:t>
            </w:r>
          </w:p>
        </w:tc>
        <w:tc>
          <w:tcPr>
            <w:tcW w:w="3081" w:type="dxa"/>
          </w:tcPr>
          <w:p w14:paraId="70F8AC9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关键帧丢失、数据可靠性</w:t>
            </w:r>
          </w:p>
        </w:tc>
      </w:tr>
      <w:tr w14:paraId="6BB60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65F4023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Jitter Buffer</w:t>
            </w:r>
          </w:p>
        </w:tc>
        <w:tc>
          <w:tcPr>
            <w:tcW w:w="3081" w:type="dxa"/>
          </w:tcPr>
          <w:p w14:paraId="14E84AE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接收端自适应缓冲，消除网络抖动导致的播放不连续</w:t>
            </w:r>
          </w:p>
        </w:tc>
        <w:tc>
          <w:tcPr>
            <w:tcW w:w="3081" w:type="dxa"/>
          </w:tcPr>
          <w:p w14:paraId="453217F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网络抖动、播放卡顿</w:t>
            </w:r>
          </w:p>
        </w:tc>
      </w:tr>
      <w:tr w14:paraId="2DC83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0898101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ICE/STUN/TURN</w:t>
            </w:r>
          </w:p>
        </w:tc>
        <w:tc>
          <w:tcPr>
            <w:tcW w:w="3081" w:type="dxa"/>
          </w:tcPr>
          <w:p w14:paraId="4FF4B35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内置 NAT 穿透框架，自动探测最优连接路径</w:t>
            </w:r>
          </w:p>
        </w:tc>
        <w:tc>
          <w:tcPr>
            <w:tcW w:w="3081" w:type="dxa"/>
          </w:tcPr>
          <w:p w14:paraId="3BC7374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NAT 穿透、复杂网络环境下的连通性</w:t>
            </w:r>
          </w:p>
        </w:tc>
      </w:tr>
      <w:tr w14:paraId="48246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1099336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libwebrtc 库</w:t>
            </w:r>
          </w:p>
        </w:tc>
        <w:tc>
          <w:tcPr>
            <w:tcW w:w="3081" w:type="dxa"/>
          </w:tcPr>
          <w:p w14:paraId="60F796D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Google 维护的成熟开源实现，API 丰富，社区活跃，持续更新</w:t>
            </w:r>
          </w:p>
        </w:tc>
        <w:tc>
          <w:tcPr>
            <w:tcW w:w="3081" w:type="dxa"/>
          </w:tcPr>
          <w:p w14:paraId="202F4E3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开发效率、长期可维护性</w:t>
            </w:r>
          </w:p>
        </w:tc>
      </w:tr>
    </w:tbl>
    <w:p w14:paraId="746B0AB7">
      <w:pPr>
        <w:rPr>
          <w:rFonts w:hint="eastAsia"/>
          <w:lang w:eastAsia="zh-CN"/>
        </w:rPr>
      </w:pPr>
    </w:p>
    <w:p w14:paraId="6C2F3C43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6.3 关键技术说明</w:t>
      </w:r>
    </w:p>
    <w:p w14:paraId="1E8C696D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P2P 架构：WebRTC 采用点对点直接传输架构，在单向视频传输场景下可最大限度减少服务端中转开销，降低带宽成本和传输延迟。对于多方通信场景，可引入 SFU（选择性转发单元）服务器实现高效媒体分发。</w:t>
      </w:r>
    </w:p>
    <w:p w14:paraId="4793BABD">
      <w:pPr>
        <w:bidi w:val="0"/>
        <w:rPr>
          <w:rFonts w:hint="eastAsia"/>
          <w:sz w:val="12"/>
          <w:lang w:eastAsia="zh-CN"/>
        </w:rPr>
      </w:pPr>
    </w:p>
    <w:p w14:paraId="177DAE98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浏览器兼容性：主流浏览器（Chrome、Firefox、Safari、Edge）均原生支持 WebRTC API，移动端可通过 WebView 或原生 SDK 集成，实现一次开发、多平台运行。</w:t>
      </w:r>
    </w:p>
    <w:p w14:paraId="247A7D75">
      <w:pPr>
        <w:bidi w:val="0"/>
        <w:rPr>
          <w:rFonts w:hint="eastAsia"/>
          <w:sz w:val="12"/>
          <w:lang w:eastAsia="zh-CN"/>
        </w:rPr>
      </w:pPr>
    </w:p>
    <w:p w14:paraId="676C32AE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需要指出的是，RTSP over UDP 在传输层同样采用 UDP，具备一定的低延迟优势。但其与 WebRTC 的核心差异在于：WebRTC 内置了完整的 GCC 拥塞控制算法、成熟的 libwebrtc 开源库以及浏览器原生支持能力，这些是 RTSP over UDP 所不具备的关键优势。</w:t>
      </w:r>
    </w:p>
    <w:p w14:paraId="5FB2C681">
      <w:pP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br w:type="page"/>
      </w:r>
    </w:p>
    <w:p w14:paraId="72AD95AE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7. 应用场景对比分析</w:t>
      </w:r>
    </w:p>
    <w:p w14:paraId="3D4EB282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7.1 多维度方案对比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48"/>
        <w:gridCol w:w="1848"/>
        <w:gridCol w:w="1848"/>
        <w:gridCol w:w="1849"/>
        <w:gridCol w:w="1849"/>
      </w:tblGrid>
      <w:tr w14:paraId="3CCC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shd w:val="clear" w:color="auto" w:fill="0070C0"/>
          </w:tcPr>
          <w:p w14:paraId="4E1E53C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对比维度</w:t>
            </w:r>
          </w:p>
        </w:tc>
        <w:tc>
          <w:tcPr>
            <w:tcW w:w="1848" w:type="dxa"/>
            <w:shd w:val="clear" w:color="auto" w:fill="0070C0"/>
          </w:tcPr>
          <w:p w14:paraId="10868A6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RTSP over TCP</w:t>
            </w:r>
          </w:p>
        </w:tc>
        <w:tc>
          <w:tcPr>
            <w:tcW w:w="1848" w:type="dxa"/>
            <w:shd w:val="clear" w:color="auto" w:fill="0070C0"/>
          </w:tcPr>
          <w:p w14:paraId="10CAB045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RTSP over UDP</w:t>
            </w:r>
          </w:p>
        </w:tc>
        <w:tc>
          <w:tcPr>
            <w:tcW w:w="1849" w:type="dxa"/>
            <w:shd w:val="clear" w:color="auto" w:fill="0070C0"/>
          </w:tcPr>
          <w:p w14:paraId="6656A90C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WebRTC 方案</w:t>
            </w:r>
          </w:p>
        </w:tc>
        <w:tc>
          <w:tcPr>
            <w:tcW w:w="1849" w:type="dxa"/>
            <w:shd w:val="clear" w:color="auto" w:fill="0070C0"/>
          </w:tcPr>
          <w:p w14:paraId="76324D06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WebRTC 收益与挑战</w:t>
            </w:r>
          </w:p>
        </w:tc>
      </w:tr>
      <w:tr w14:paraId="56474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46CE7AA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延迟</w:t>
            </w:r>
          </w:p>
        </w:tc>
        <w:tc>
          <w:tcPr>
            <w:tcW w:w="1848" w:type="dxa"/>
          </w:tcPr>
          <w:p w14:paraId="3F19D86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较高：TCP 队头阻塞与重传机制引入高延迟</w:t>
            </w:r>
          </w:p>
        </w:tc>
        <w:tc>
          <w:tcPr>
            <w:tcW w:w="1848" w:type="dxa"/>
          </w:tcPr>
          <w:p w14:paraId="447AD7A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较低：基于 UDP，无队头阻塞，但缺乏拥塞控制</w:t>
            </w:r>
          </w:p>
        </w:tc>
        <w:tc>
          <w:tcPr>
            <w:tcW w:w="1849" w:type="dxa"/>
          </w:tcPr>
          <w:p w14:paraId="40FB6BE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极低：UDP + SRTP + FEC/NACK 优化</w:t>
            </w:r>
          </w:p>
        </w:tc>
        <w:tc>
          <w:tcPr>
            <w:tcW w:w="1849" w:type="dxa"/>
          </w:tcPr>
          <w:p w14:paraId="269653A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收益：端到端延迟可达毫秒级</w:t>
            </w:r>
          </w:p>
        </w:tc>
      </w:tr>
      <w:tr w14:paraId="2708C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617E51B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弱网表现</w:t>
            </w:r>
          </w:p>
        </w:tc>
        <w:tc>
          <w:tcPr>
            <w:tcW w:w="1848" w:type="dxa"/>
          </w:tcPr>
          <w:p w14:paraId="30057FF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依赖 TCP 拥塞控制，波动时易卡顿；无针对性恢复机制</w:t>
            </w:r>
          </w:p>
        </w:tc>
        <w:tc>
          <w:tcPr>
            <w:tcW w:w="1848" w:type="dxa"/>
          </w:tcPr>
          <w:p w14:paraId="1B2A4CF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无内置抗弱网能力，高丢包时质量急剧下降</w:t>
            </w:r>
          </w:p>
        </w:tc>
        <w:tc>
          <w:tcPr>
            <w:tcW w:w="1849" w:type="dxa"/>
          </w:tcPr>
          <w:p w14:paraId="09F8FAB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GCC + FEC + NACK + Jitter Buffer 动态调整</w:t>
            </w:r>
          </w:p>
        </w:tc>
        <w:tc>
          <w:tcPr>
            <w:tcW w:w="1849" w:type="dxa"/>
          </w:tcPr>
          <w:p w14:paraId="18C9E48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收益：30% 丢包率下仍可流畅播放</w:t>
            </w:r>
          </w:p>
        </w:tc>
      </w:tr>
      <w:tr w14:paraId="37FE8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0520D78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部署复杂度</w:t>
            </w:r>
          </w:p>
        </w:tc>
        <w:tc>
          <w:tcPr>
            <w:tcW w:w="1848" w:type="dxa"/>
          </w:tcPr>
          <w:p w14:paraId="3A01703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低：仅需 RTSP 服务器 + 播放器</w:t>
            </w:r>
          </w:p>
        </w:tc>
        <w:tc>
          <w:tcPr>
            <w:tcW w:w="1848" w:type="dxa"/>
          </w:tcPr>
          <w:p w14:paraId="6E3C68A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中等：需处理 UDP 穿透和丢包恢复</w:t>
            </w:r>
          </w:p>
        </w:tc>
        <w:tc>
          <w:tcPr>
            <w:tcW w:w="1849" w:type="dxa"/>
          </w:tcPr>
          <w:p w14:paraId="65ECFB8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较高：需信令服务器 + STUN/TURN</w:t>
            </w:r>
          </w:p>
        </w:tc>
        <w:tc>
          <w:tcPr>
            <w:tcW w:w="1849" w:type="dxa"/>
          </w:tcPr>
          <w:p w14:paraId="30A0453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挑战：初期部署组件多，门槛较高</w:t>
            </w:r>
          </w:p>
        </w:tc>
      </w:tr>
      <w:tr w14:paraId="3C6AA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62F968F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跨平台支持</w:t>
            </w:r>
          </w:p>
        </w:tc>
        <w:tc>
          <w:tcPr>
            <w:tcW w:w="1848" w:type="dxa"/>
          </w:tcPr>
          <w:p w14:paraId="77BACC8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差：需各平台适配专用播放器</w:t>
            </w:r>
          </w:p>
        </w:tc>
        <w:tc>
          <w:tcPr>
            <w:tcW w:w="1848" w:type="dxa"/>
          </w:tcPr>
          <w:p w14:paraId="36C4C46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差：同左，依赖特定播放器</w:t>
            </w:r>
          </w:p>
        </w:tc>
        <w:tc>
          <w:tcPr>
            <w:tcW w:w="1849" w:type="dxa"/>
          </w:tcPr>
          <w:p w14:paraId="43F88C7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优秀：浏览器原生支持，移动端可嵌入 WebView/SDK</w:t>
            </w:r>
          </w:p>
        </w:tc>
        <w:tc>
          <w:tcPr>
            <w:tcW w:w="1849" w:type="dxa"/>
          </w:tcPr>
          <w:p w14:paraId="2BEEC38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收益：一次开发，多平台运行</w:t>
            </w:r>
          </w:p>
        </w:tc>
      </w:tr>
      <w:tr w14:paraId="449A8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2C404F5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维护成本</w:t>
            </w:r>
          </w:p>
        </w:tc>
        <w:tc>
          <w:tcPr>
            <w:tcW w:w="1848" w:type="dxa"/>
          </w:tcPr>
          <w:p w14:paraId="7D1530C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客户端维护成本高（多平台适配）</w:t>
            </w:r>
          </w:p>
        </w:tc>
        <w:tc>
          <w:tcPr>
            <w:tcW w:w="1848" w:type="dxa"/>
          </w:tcPr>
          <w:p w14:paraId="134EC3A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需自行处理丢包和抖动问题</w:t>
            </w:r>
          </w:p>
        </w:tc>
        <w:tc>
          <w:tcPr>
            <w:tcW w:w="1849" w:type="dxa"/>
          </w:tcPr>
          <w:p w14:paraId="551B7E9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客户端维护简单（浏览器自动更新），但需维护信令和 TURN 服务</w:t>
            </w:r>
          </w:p>
        </w:tc>
        <w:tc>
          <w:tcPr>
            <w:tcW w:w="1849" w:type="dxa"/>
          </w:tcPr>
          <w:p w14:paraId="4ED61E0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收益：客户端维护低；挑战：服务端运维增加</w:t>
            </w:r>
          </w:p>
        </w:tc>
      </w:tr>
      <w:tr w14:paraId="6D452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53DC52D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安全性</w:t>
            </w:r>
          </w:p>
        </w:tc>
        <w:tc>
          <w:tcPr>
            <w:tcW w:w="1848" w:type="dxa"/>
          </w:tcPr>
          <w:p w14:paraId="0080796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可叠加 TLS，但配置复杂</w:t>
            </w:r>
          </w:p>
        </w:tc>
        <w:tc>
          <w:tcPr>
            <w:tcW w:w="1848" w:type="dxa"/>
          </w:tcPr>
          <w:p w14:paraId="7A27648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媒体默认不加密</w:t>
            </w:r>
          </w:p>
        </w:tc>
        <w:tc>
          <w:tcPr>
            <w:tcW w:w="1849" w:type="dxa"/>
          </w:tcPr>
          <w:p w14:paraId="3421F6D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内置 SRTP + DTLS，安全开箱即用</w:t>
            </w:r>
          </w:p>
        </w:tc>
        <w:tc>
          <w:tcPr>
            <w:tcW w:w="1849" w:type="dxa"/>
          </w:tcPr>
          <w:p w14:paraId="424B9DF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收益：原生媒体加密，保障数据隐私</w:t>
            </w:r>
          </w:p>
        </w:tc>
      </w:tr>
      <w:tr w14:paraId="432E8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4238FDE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NAT 穿透</w:t>
            </w:r>
          </w:p>
        </w:tc>
        <w:tc>
          <w:tcPr>
            <w:tcW w:w="1848" w:type="dxa"/>
          </w:tcPr>
          <w:p w14:paraId="1F46059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TCP 有一定穿透性</w:t>
            </w:r>
          </w:p>
        </w:tc>
        <w:tc>
          <w:tcPr>
            <w:tcW w:w="1848" w:type="dxa"/>
          </w:tcPr>
          <w:p w14:paraId="3E47635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UDP 穿透困难，需 STUN/TURN</w:t>
            </w:r>
          </w:p>
        </w:tc>
        <w:tc>
          <w:tcPr>
            <w:tcW w:w="1849" w:type="dxa"/>
          </w:tcPr>
          <w:p w14:paraId="5730107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内置 ICE 框架，穿透成功率高</w:t>
            </w:r>
          </w:p>
        </w:tc>
        <w:tc>
          <w:tcPr>
            <w:tcW w:w="1849" w:type="dxa"/>
          </w:tcPr>
          <w:p w14:paraId="5EC9BFB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收益：成熟的 NAT 穿透方案</w:t>
            </w:r>
          </w:p>
        </w:tc>
      </w:tr>
    </w:tbl>
    <w:p w14:paraId="1707BC82">
      <w:pPr>
        <w:rPr>
          <w:rFonts w:hint="eastAsia"/>
          <w:lang w:eastAsia="zh-CN"/>
        </w:rPr>
      </w:pPr>
    </w:p>
    <w:p w14:paraId="03C7BA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6701A308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8. 技术可行性评估</w:t>
      </w:r>
    </w:p>
    <w:p w14:paraId="5A74506D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8.1 POC 验证结果</w:t>
      </w:r>
    </w:p>
    <w:p w14:paraId="267DE90B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一阶段 POC 已在局域网环境下完成基础可行性验证，结果如下：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285B8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0070C0"/>
          </w:tcPr>
          <w:p w14:paraId="3241413E">
            <w:pPr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验证项目</w:t>
            </w:r>
          </w:p>
        </w:tc>
        <w:tc>
          <w:tcPr>
            <w:tcW w:w="4621" w:type="dxa"/>
            <w:shd w:val="clear" w:color="auto" w:fill="0070C0"/>
          </w:tcPr>
          <w:p w14:paraId="582965AA">
            <w:pPr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结果</w:t>
            </w:r>
          </w:p>
        </w:tc>
      </w:tr>
      <w:tr w14:paraId="7CD71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24A6F739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推流端技术栈</w:t>
            </w:r>
          </w:p>
        </w:tc>
        <w:tc>
          <w:tcPr>
            <w:tcW w:w="4621" w:type="dxa"/>
          </w:tcPr>
          <w:p w14:paraId="238DB517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Python aiortc 库（WebRTC Python 实现）</w:t>
            </w:r>
          </w:p>
        </w:tc>
      </w:tr>
      <w:tr w14:paraId="2A888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1691E880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接收端技术栈</w:t>
            </w:r>
          </w:p>
        </w:tc>
        <w:tc>
          <w:tcPr>
            <w:tcW w:w="4621" w:type="dxa"/>
          </w:tcPr>
          <w:p w14:paraId="53203CF3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基于 Qt WebEngine（内置 WebRTC 支持）</w:t>
            </w:r>
          </w:p>
        </w:tc>
      </w:tr>
      <w:tr w14:paraId="69902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6D90F00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端到端延时</w:t>
            </w:r>
          </w:p>
        </w:tc>
        <w:tc>
          <w:tcPr>
            <w:tcW w:w="4621" w:type="dxa"/>
          </w:tcPr>
          <w:p w14:paraId="08F63E6C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约 130ms（局域网环境）</w:t>
            </w:r>
          </w:p>
        </w:tc>
      </w:tr>
      <w:tr w14:paraId="57CA8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754A257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结论</w:t>
            </w:r>
          </w:p>
        </w:tc>
        <w:tc>
          <w:tcPr>
            <w:tcW w:w="4621" w:type="dxa"/>
          </w:tcPr>
          <w:p w14:paraId="1795ABC5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满足预期目标（&lt; 200ms），基础可行性验证通过</w:t>
            </w:r>
          </w:p>
        </w:tc>
      </w:tr>
    </w:tbl>
    <w:p w14:paraId="74F5241D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</w:p>
    <w:p w14:paraId="48F78254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8.2 性能基准测试方案</w:t>
      </w:r>
    </w:p>
    <w:p w14:paraId="51EEC09D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后续阶段需完成以下性能指标的量化测试：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34804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  <w:shd w:val="clear" w:color="auto" w:fill="0070C0"/>
          </w:tcPr>
          <w:p w14:paraId="59CC8412">
            <w:pPr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测试指标</w:t>
            </w:r>
          </w:p>
        </w:tc>
        <w:tc>
          <w:tcPr>
            <w:tcW w:w="2310" w:type="dxa"/>
            <w:shd w:val="clear" w:color="auto" w:fill="0070C0"/>
          </w:tcPr>
          <w:p w14:paraId="5721715B">
            <w:pPr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目标值</w:t>
            </w:r>
          </w:p>
        </w:tc>
        <w:tc>
          <w:tcPr>
            <w:tcW w:w="2311" w:type="dxa"/>
            <w:shd w:val="clear" w:color="auto" w:fill="0070C0"/>
          </w:tcPr>
          <w:p w14:paraId="330294C1">
            <w:pPr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测试条件</w:t>
            </w:r>
          </w:p>
        </w:tc>
        <w:tc>
          <w:tcPr>
            <w:tcW w:w="2311" w:type="dxa"/>
            <w:shd w:val="clear" w:color="auto" w:fill="0070C0"/>
          </w:tcPr>
          <w:p w14:paraId="6137ED76">
            <w:pPr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测试方法</w:t>
            </w:r>
          </w:p>
        </w:tc>
      </w:tr>
      <w:tr w14:paraId="1A1DB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264E7AAA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端到端延迟</w:t>
            </w:r>
          </w:p>
        </w:tc>
        <w:tc>
          <w:tcPr>
            <w:tcW w:w="2310" w:type="dxa"/>
          </w:tcPr>
          <w:p w14:paraId="01126D4F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&lt; 200ms</w:t>
            </w:r>
          </w:p>
        </w:tc>
        <w:tc>
          <w:tcPr>
            <w:tcW w:w="2311" w:type="dxa"/>
          </w:tcPr>
          <w:p w14:paraId="74034EC0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局域网 / 公网 / 弱网模拟</w:t>
            </w:r>
          </w:p>
        </w:tc>
        <w:tc>
          <w:tcPr>
            <w:tcW w:w="2311" w:type="dxa"/>
          </w:tcPr>
          <w:p w14:paraId="2C4BDF6A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时间戳对比法，NTP 同步</w:t>
            </w:r>
          </w:p>
        </w:tc>
      </w:tr>
      <w:tr w14:paraId="5B877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0FF3F2F1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首帧时间</w:t>
            </w:r>
          </w:p>
        </w:tc>
        <w:tc>
          <w:tcPr>
            <w:tcW w:w="2310" w:type="dxa"/>
          </w:tcPr>
          <w:p w14:paraId="36EA40A8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&lt; 500ms</w:t>
            </w:r>
          </w:p>
        </w:tc>
        <w:tc>
          <w:tcPr>
            <w:tcW w:w="2311" w:type="dxa"/>
          </w:tcPr>
          <w:p w14:paraId="7D8072C0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冷启动场景</w:t>
            </w:r>
          </w:p>
        </w:tc>
        <w:tc>
          <w:tcPr>
            <w:tcW w:w="2311" w:type="dxa"/>
          </w:tcPr>
          <w:p w14:paraId="1DFCFFD1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从发起请求到首帧渲染的耗时</w:t>
            </w:r>
          </w:p>
        </w:tc>
      </w:tr>
      <w:tr w14:paraId="6A070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0C65CC78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弱网流畅度</w:t>
            </w:r>
          </w:p>
        </w:tc>
        <w:tc>
          <w:tcPr>
            <w:tcW w:w="2310" w:type="dxa"/>
          </w:tcPr>
          <w:p w14:paraId="70FBC889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30% 丢包率下可播放</w:t>
            </w:r>
          </w:p>
        </w:tc>
        <w:tc>
          <w:tcPr>
            <w:tcW w:w="2311" w:type="dxa"/>
          </w:tcPr>
          <w:p w14:paraId="1ED1ACC7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TC/Clumsy 模拟丢包、延迟、抖动</w:t>
            </w:r>
          </w:p>
        </w:tc>
        <w:tc>
          <w:tcPr>
            <w:tcW w:w="2311" w:type="dxa"/>
          </w:tcPr>
          <w:p w14:paraId="2788D8FA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主观评价（MOS）+ 客观指标（帧率、卡顿率）</w:t>
            </w:r>
          </w:p>
        </w:tc>
      </w:tr>
      <w:tr w14:paraId="316A8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0004B5F3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分辨率支持</w:t>
            </w:r>
          </w:p>
        </w:tc>
        <w:tc>
          <w:tcPr>
            <w:tcW w:w="2310" w:type="dxa"/>
          </w:tcPr>
          <w:p w14:paraId="2BFBF175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1080p @ 30fps</w:t>
            </w:r>
          </w:p>
        </w:tc>
        <w:tc>
          <w:tcPr>
            <w:tcW w:w="2311" w:type="dxa"/>
          </w:tcPr>
          <w:p w14:paraId="6142692A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标准测试码流</w:t>
            </w:r>
          </w:p>
        </w:tc>
        <w:tc>
          <w:tcPr>
            <w:tcW w:w="2311" w:type="dxa"/>
          </w:tcPr>
          <w:p w14:paraId="21F08184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编解码能力验证</w:t>
            </w:r>
          </w:p>
        </w:tc>
      </w:tr>
      <w:tr w14:paraId="2F49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2160ED06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CPU 占用率</w:t>
            </w:r>
          </w:p>
        </w:tc>
        <w:tc>
          <w:tcPr>
            <w:tcW w:w="2310" w:type="dxa"/>
          </w:tcPr>
          <w:p w14:paraId="157C53EA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单路 &lt; 15%</w:t>
            </w:r>
          </w:p>
        </w:tc>
        <w:tc>
          <w:tcPr>
            <w:tcW w:w="2311" w:type="dxa"/>
          </w:tcPr>
          <w:p w14:paraId="417B246C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标准硬件环境</w:t>
            </w:r>
          </w:p>
        </w:tc>
        <w:tc>
          <w:tcPr>
            <w:tcW w:w="2311" w:type="dxa"/>
          </w:tcPr>
          <w:p w14:paraId="2BB46A4F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性能监控工具采集</w:t>
            </w:r>
          </w:p>
        </w:tc>
      </w:tr>
      <w:tr w14:paraId="62008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54A03240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并发路数</w:t>
            </w:r>
          </w:p>
        </w:tc>
        <w:tc>
          <w:tcPr>
            <w:tcW w:w="2310" w:type="dxa"/>
          </w:tcPr>
          <w:p w14:paraId="1CD59034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&gt;= 4 路</w:t>
            </w:r>
          </w:p>
        </w:tc>
        <w:tc>
          <w:tcPr>
            <w:tcW w:w="2311" w:type="dxa"/>
          </w:tcPr>
          <w:p w14:paraId="7EA8A02F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同一终端多路拉流</w:t>
            </w:r>
          </w:p>
        </w:tc>
        <w:tc>
          <w:tcPr>
            <w:tcW w:w="2311" w:type="dxa"/>
          </w:tcPr>
          <w:p w14:paraId="69827067">
            <w:pPr>
              <w:bidi w:val="0"/>
              <w:jc w:val="left"/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color w:val="000000"/>
                <w:sz w:val="18"/>
                <w:vertAlign w:val="baseline"/>
                <w:lang w:eastAsia="zh-CN"/>
              </w:rPr>
              <w:t>资源占用与延迟稳定性</w:t>
            </w:r>
          </w:p>
        </w:tc>
      </w:tr>
    </w:tbl>
    <w:p w14:paraId="666C71CB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</w:p>
    <w:p w14:paraId="48ECB816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8.3 技术风险评估矩阵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48"/>
        <w:gridCol w:w="1848"/>
        <w:gridCol w:w="1848"/>
        <w:gridCol w:w="1849"/>
        <w:gridCol w:w="1849"/>
      </w:tblGrid>
      <w:tr w14:paraId="28F28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shd w:val="clear" w:color="auto" w:fill="0070C0"/>
          </w:tcPr>
          <w:p w14:paraId="26699C10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风险项</w:t>
            </w:r>
          </w:p>
        </w:tc>
        <w:tc>
          <w:tcPr>
            <w:tcW w:w="1848" w:type="dxa"/>
            <w:shd w:val="clear" w:color="auto" w:fill="0070C0"/>
          </w:tcPr>
          <w:p w14:paraId="6731BA1C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风险等级</w:t>
            </w:r>
          </w:p>
        </w:tc>
        <w:tc>
          <w:tcPr>
            <w:tcW w:w="1848" w:type="dxa"/>
            <w:shd w:val="clear" w:color="auto" w:fill="0070C0"/>
          </w:tcPr>
          <w:p w14:paraId="5E59284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发生概率</w:t>
            </w:r>
          </w:p>
        </w:tc>
        <w:tc>
          <w:tcPr>
            <w:tcW w:w="1849" w:type="dxa"/>
            <w:shd w:val="clear" w:color="auto" w:fill="0070C0"/>
          </w:tcPr>
          <w:p w14:paraId="318BD13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影响程度</w:t>
            </w:r>
          </w:p>
        </w:tc>
        <w:tc>
          <w:tcPr>
            <w:tcW w:w="1849" w:type="dxa"/>
            <w:shd w:val="clear" w:color="auto" w:fill="0070C0"/>
          </w:tcPr>
          <w:p w14:paraId="0FAD5CD4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应对措施</w:t>
            </w:r>
          </w:p>
        </w:tc>
      </w:tr>
      <w:tr w14:paraId="234D1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4F4FB48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libwebrtc 编译与集成复杂</w:t>
            </w:r>
          </w:p>
        </w:tc>
        <w:tc>
          <w:tcPr>
            <w:tcW w:w="1848" w:type="dxa"/>
          </w:tcPr>
          <w:p w14:paraId="4D9ADBF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</w:t>
            </w:r>
          </w:p>
        </w:tc>
        <w:tc>
          <w:tcPr>
            <w:tcW w:w="1848" w:type="dxa"/>
          </w:tcPr>
          <w:p w14:paraId="0A54FC8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</w:t>
            </w:r>
          </w:p>
        </w:tc>
        <w:tc>
          <w:tcPr>
            <w:tcW w:w="1849" w:type="dxa"/>
          </w:tcPr>
          <w:p w14:paraId="6FFC66A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9" w:type="dxa"/>
          </w:tcPr>
          <w:p w14:paraId="13BFE8B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分阶段推进：先用轻量库（libdatachannel）验证，再切换完整 libwebrtc</w:t>
            </w:r>
          </w:p>
        </w:tc>
      </w:tr>
      <w:tr w14:paraId="75C0D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4C74568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NAT 穿透失败率</w:t>
            </w:r>
          </w:p>
        </w:tc>
        <w:tc>
          <w:tcPr>
            <w:tcW w:w="1848" w:type="dxa"/>
          </w:tcPr>
          <w:p w14:paraId="04B0DC7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8" w:type="dxa"/>
          </w:tcPr>
          <w:p w14:paraId="32A9B87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9" w:type="dxa"/>
          </w:tcPr>
          <w:p w14:paraId="32DB71D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</w:t>
            </w:r>
          </w:p>
        </w:tc>
        <w:tc>
          <w:tcPr>
            <w:tcW w:w="1849" w:type="dxa"/>
          </w:tcPr>
          <w:p w14:paraId="3A03961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部署 TURN 中继服务器作为兜底方案；优化 ICE 候选策略</w:t>
            </w:r>
          </w:p>
        </w:tc>
      </w:tr>
      <w:tr w14:paraId="7AFAF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323E087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弱网场景延迟不达标</w:t>
            </w:r>
          </w:p>
        </w:tc>
        <w:tc>
          <w:tcPr>
            <w:tcW w:w="1848" w:type="dxa"/>
          </w:tcPr>
          <w:p w14:paraId="0116369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8" w:type="dxa"/>
          </w:tcPr>
          <w:p w14:paraId="74774D2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9" w:type="dxa"/>
          </w:tcPr>
          <w:p w14:paraId="753EBB2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</w:t>
            </w:r>
          </w:p>
        </w:tc>
        <w:tc>
          <w:tcPr>
            <w:tcW w:w="1849" w:type="dxa"/>
          </w:tcPr>
          <w:p w14:paraId="5FCAB7C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调优 GCC 参数、FEC 冗余度、Jitter Buffer 策略；必要时定制码率自适应算法</w:t>
            </w:r>
          </w:p>
        </w:tc>
      </w:tr>
      <w:tr w14:paraId="471FA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42ABE47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信令服务器稳定性</w:t>
            </w:r>
          </w:p>
        </w:tc>
        <w:tc>
          <w:tcPr>
            <w:tcW w:w="1848" w:type="dxa"/>
          </w:tcPr>
          <w:p w14:paraId="6BB0799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8" w:type="dxa"/>
          </w:tcPr>
          <w:p w14:paraId="6473905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低</w:t>
            </w:r>
          </w:p>
        </w:tc>
        <w:tc>
          <w:tcPr>
            <w:tcW w:w="1849" w:type="dxa"/>
          </w:tcPr>
          <w:p w14:paraId="469485C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</w:t>
            </w:r>
          </w:p>
        </w:tc>
        <w:tc>
          <w:tcPr>
            <w:tcW w:w="1849" w:type="dxa"/>
          </w:tcPr>
          <w:p w14:paraId="09AE288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采用成熟的 WebSocket 框架；设计心跳重连机制</w:t>
            </w:r>
          </w:p>
        </w:tc>
      </w:tr>
      <w:tr w14:paraId="6EC91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4DC2F46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与现有系统集成困难</w:t>
            </w:r>
          </w:p>
        </w:tc>
        <w:tc>
          <w:tcPr>
            <w:tcW w:w="1848" w:type="dxa"/>
          </w:tcPr>
          <w:p w14:paraId="5ADFDE1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8" w:type="dxa"/>
          </w:tcPr>
          <w:p w14:paraId="42CD433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9" w:type="dxa"/>
          </w:tcPr>
          <w:p w14:paraId="16FB697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9" w:type="dxa"/>
          </w:tcPr>
          <w:p w14:paraId="332126E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设计清晰的抽象层接口；保留 RTSP 回退能力</w:t>
            </w:r>
          </w:p>
        </w:tc>
      </w:tr>
      <w:tr w14:paraId="66B70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21F3F04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团队 WebRTC 技术储备不足</w:t>
            </w:r>
          </w:p>
        </w:tc>
        <w:tc>
          <w:tcPr>
            <w:tcW w:w="1848" w:type="dxa"/>
          </w:tcPr>
          <w:p w14:paraId="494C877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8" w:type="dxa"/>
          </w:tcPr>
          <w:p w14:paraId="2B02B47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</w:t>
            </w:r>
          </w:p>
        </w:tc>
        <w:tc>
          <w:tcPr>
            <w:tcW w:w="1849" w:type="dxa"/>
          </w:tcPr>
          <w:p w14:paraId="115ABBA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</w:t>
            </w:r>
          </w:p>
        </w:tc>
        <w:tc>
          <w:tcPr>
            <w:tcW w:w="1849" w:type="dxa"/>
          </w:tcPr>
          <w:p w14:paraId="10B03AB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安排专项技术培训；参考开源项目和官方文档；预留学习缓冲期</w:t>
            </w:r>
          </w:p>
        </w:tc>
      </w:tr>
    </w:tbl>
    <w:p w14:paraId="4C9F74BA">
      <w:pPr>
        <w:rPr>
          <w:rFonts w:hint="eastAsia"/>
          <w:lang w:eastAsia="zh-CN"/>
        </w:rPr>
      </w:pPr>
    </w:p>
    <w:p w14:paraId="144C0CAE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8.4 技术依赖与环境要求</w:t>
      </w:r>
    </w:p>
    <w:p w14:paraId="5CFE1A31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操作系统：Windows 10/11（终端侧），Linux（服务端）</w:t>
      </w:r>
    </w:p>
    <w:p w14:paraId="5008C394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编译工具链：Visual Studio 2019+, CMake 3.16+, GN/Ninja（libwebrtc 编译）</w:t>
      </w:r>
    </w:p>
    <w:p w14:paraId="10D4DC5C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核心依赖库：libwebrtc / libdatachannel, OpenSSL, FFmpeg（编解码）</w:t>
      </w:r>
    </w:p>
    <w:p w14:paraId="107E8A31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信令协议：WebSocket（推荐）或自定义 TCP 信令</w:t>
      </w:r>
    </w:p>
    <w:p w14:paraId="47F0D55E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辅助服务：STUN 服务器（可用公共服务）、TURN 服务器（需自建或采购）</w:t>
      </w:r>
    </w:p>
    <w:p w14:paraId="0D14E44B">
      <w:pP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br w:type="page"/>
      </w:r>
    </w:p>
    <w:p w14:paraId="14777309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9. 实施方案与阶段规划</w:t>
      </w:r>
    </w:p>
    <w:p w14:paraId="4858CB01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9.1 技术路线选择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48"/>
        <w:gridCol w:w="1848"/>
        <w:gridCol w:w="1848"/>
        <w:gridCol w:w="1849"/>
        <w:gridCol w:w="1849"/>
      </w:tblGrid>
      <w:tr w14:paraId="40202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  <w:shd w:val="clear" w:color="auto" w:fill="0070C0"/>
          </w:tcPr>
          <w:p w14:paraId="1973506E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方案</w:t>
            </w:r>
          </w:p>
        </w:tc>
        <w:tc>
          <w:tcPr>
            <w:tcW w:w="1848" w:type="dxa"/>
            <w:shd w:val="clear" w:color="auto" w:fill="0070C0"/>
          </w:tcPr>
          <w:p w14:paraId="6EFD178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优势</w:t>
            </w:r>
          </w:p>
        </w:tc>
        <w:tc>
          <w:tcPr>
            <w:tcW w:w="1848" w:type="dxa"/>
            <w:shd w:val="clear" w:color="auto" w:fill="0070C0"/>
          </w:tcPr>
          <w:p w14:paraId="5644DAD5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劣势</w:t>
            </w:r>
          </w:p>
        </w:tc>
        <w:tc>
          <w:tcPr>
            <w:tcW w:w="1849" w:type="dxa"/>
            <w:shd w:val="clear" w:color="auto" w:fill="0070C0"/>
          </w:tcPr>
          <w:p w14:paraId="21B0E4F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成本</w:t>
            </w:r>
          </w:p>
        </w:tc>
        <w:tc>
          <w:tcPr>
            <w:tcW w:w="1849" w:type="dxa"/>
            <w:shd w:val="clear" w:color="auto" w:fill="0070C0"/>
          </w:tcPr>
          <w:p w14:paraId="69013E0A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推荐度</w:t>
            </w:r>
          </w:p>
        </w:tc>
      </w:tr>
      <w:tr w14:paraId="62578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6873067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当虹科技（商业）</w:t>
            </w:r>
          </w:p>
        </w:tc>
        <w:tc>
          <w:tcPr>
            <w:tcW w:w="1848" w:type="dxa"/>
          </w:tcPr>
          <w:p w14:paraId="6729034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功能成熟，开箱即用</w:t>
            </w:r>
          </w:p>
        </w:tc>
        <w:tc>
          <w:tcPr>
            <w:tcW w:w="1848" w:type="dxa"/>
          </w:tcPr>
          <w:p w14:paraId="17D75B5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vendor lock-in；问题排查困难；持续收费</w:t>
            </w:r>
          </w:p>
        </w:tc>
        <w:tc>
          <w:tcPr>
            <w:tcW w:w="1849" w:type="dxa"/>
          </w:tcPr>
          <w:p w14:paraId="2F3A136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高（授权费 + 年费）</w:t>
            </w:r>
          </w:p>
        </w:tc>
        <w:tc>
          <w:tcPr>
            <w:tcW w:w="1849" w:type="dxa"/>
          </w:tcPr>
          <w:p w14:paraId="3C6950C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不推荐</w:t>
            </w:r>
          </w:p>
        </w:tc>
      </w:tr>
      <w:tr w14:paraId="511FA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08C3090F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腾讯云（商业）</w:t>
            </w:r>
          </w:p>
        </w:tc>
        <w:tc>
          <w:tcPr>
            <w:tcW w:w="1848" w:type="dxa"/>
          </w:tcPr>
          <w:p w14:paraId="5109460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功能成熟，开箱即用</w:t>
            </w:r>
          </w:p>
        </w:tc>
        <w:tc>
          <w:tcPr>
            <w:tcW w:w="1848" w:type="dxa"/>
          </w:tcPr>
          <w:p w14:paraId="2064E08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vendor lock-in；问题排查困难；持续收费</w:t>
            </w:r>
          </w:p>
        </w:tc>
        <w:tc>
          <w:tcPr>
            <w:tcW w:w="1849" w:type="dxa"/>
          </w:tcPr>
          <w:p w14:paraId="07FD9C2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高（按量计费）</w:t>
            </w:r>
          </w:p>
        </w:tc>
        <w:tc>
          <w:tcPr>
            <w:tcW w:w="1849" w:type="dxa"/>
          </w:tcPr>
          <w:p w14:paraId="6CBB535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不推荐</w:t>
            </w:r>
          </w:p>
        </w:tc>
      </w:tr>
      <w:tr w14:paraId="0179B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48" w:type="dxa"/>
          </w:tcPr>
          <w:p w14:paraId="2A5AEFF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自研基于 libwebrtc</w:t>
            </w:r>
          </w:p>
        </w:tc>
        <w:tc>
          <w:tcPr>
            <w:tcW w:w="1848" w:type="dxa"/>
          </w:tcPr>
          <w:p w14:paraId="4E5F6A5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自主可控；无授权费；深度定制</w:t>
            </w:r>
          </w:p>
        </w:tc>
        <w:tc>
          <w:tcPr>
            <w:tcW w:w="1848" w:type="dxa"/>
          </w:tcPr>
          <w:p w14:paraId="0878D92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研发投入较大；集成复杂度高</w:t>
            </w:r>
          </w:p>
        </w:tc>
        <w:tc>
          <w:tcPr>
            <w:tcW w:w="1849" w:type="dxa"/>
          </w:tcPr>
          <w:p w14:paraId="2E41BA2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中（人力投入）</w:t>
            </w:r>
          </w:p>
        </w:tc>
        <w:tc>
          <w:tcPr>
            <w:tcW w:w="1849" w:type="dxa"/>
          </w:tcPr>
          <w:p w14:paraId="5604CE4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推荐</w:t>
            </w:r>
          </w:p>
        </w:tc>
      </w:tr>
    </w:tbl>
    <w:p w14:paraId="10CC376B">
      <w:pPr>
        <w:rPr>
          <w:rFonts w:hint="eastAsia"/>
          <w:lang w:eastAsia="zh-CN"/>
        </w:rPr>
      </w:pPr>
    </w:p>
    <w:p w14:paraId="53483282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推荐理由：自研方案虽然初始研发投入较大，但长期来看具备自主可控、无授权费用、可深度定制等优势。通过分阶段渐进式推进（先轻量库验证，再完整库集成），可有效控制技术风险。</w:t>
      </w:r>
    </w:p>
    <w:p w14:paraId="558CA54B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9.2 分阶段实施计划</w:t>
      </w:r>
    </w:p>
    <w:p w14:paraId="0361BA85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阶段一：基础可行性验证（已完成）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0052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0070C0"/>
          </w:tcPr>
          <w:p w14:paraId="037B21FB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项目</w:t>
            </w:r>
          </w:p>
        </w:tc>
        <w:tc>
          <w:tcPr>
            <w:tcW w:w="4621" w:type="dxa"/>
            <w:shd w:val="clear" w:color="auto" w:fill="0070C0"/>
          </w:tcPr>
          <w:p w14:paraId="5AF44D86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内容</w:t>
            </w:r>
          </w:p>
        </w:tc>
      </w:tr>
      <w:tr w14:paraId="7F3D8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F388CB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目标</w:t>
            </w:r>
          </w:p>
        </w:tc>
        <w:tc>
          <w:tcPr>
            <w:tcW w:w="4621" w:type="dxa"/>
          </w:tcPr>
          <w:p w14:paraId="76C1EFB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局域网环境下验证 WebRTC 取流基础可行性</w:t>
            </w:r>
          </w:p>
        </w:tc>
      </w:tr>
      <w:tr w14:paraId="2688C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B1247E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技术方案</w:t>
            </w:r>
          </w:p>
        </w:tc>
        <w:tc>
          <w:tcPr>
            <w:tcW w:w="4621" w:type="dxa"/>
          </w:tcPr>
          <w:p w14:paraId="036BFBE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推流端：Python aiortc；接收端：Qt WebEngine（内置 WebRTC）</w:t>
            </w:r>
          </w:p>
        </w:tc>
      </w:tr>
      <w:tr w14:paraId="22DA2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CCC961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验证结果</w:t>
            </w:r>
          </w:p>
        </w:tc>
        <w:tc>
          <w:tcPr>
            <w:tcW w:w="4621" w:type="dxa"/>
          </w:tcPr>
          <w:p w14:paraId="2C8C1DB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端到端延时约 130ms，满足 &lt; 200ms 目标</w:t>
            </w:r>
          </w:p>
        </w:tc>
      </w:tr>
      <w:tr w14:paraId="28A63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FDCC4E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状态</w:t>
            </w:r>
          </w:p>
        </w:tc>
        <w:tc>
          <w:tcPr>
            <w:tcW w:w="4621" w:type="dxa"/>
          </w:tcPr>
          <w:p w14:paraId="238997C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已完成 ✓</w:t>
            </w:r>
          </w:p>
        </w:tc>
      </w:tr>
    </w:tbl>
    <w:p w14:paraId="6B5D9124">
      <w:pPr>
        <w:rPr>
          <w:rFonts w:hint="eastAsia"/>
          <w:lang w:eastAsia="zh-CN"/>
        </w:rPr>
      </w:pPr>
    </w:p>
    <w:p w14:paraId="3FA2A598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阶段二：轻量库集成验证（计划中）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33251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0070C0"/>
          </w:tcPr>
          <w:p w14:paraId="248CDFE0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项目</w:t>
            </w:r>
          </w:p>
        </w:tc>
        <w:tc>
          <w:tcPr>
            <w:tcW w:w="4621" w:type="dxa"/>
            <w:shd w:val="clear" w:color="auto" w:fill="0070C0"/>
          </w:tcPr>
          <w:p w14:paraId="58DA39DB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内容</w:t>
            </w:r>
          </w:p>
        </w:tc>
      </w:tr>
      <w:tr w14:paraId="57C7B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E0E1FB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目标</w:t>
            </w:r>
          </w:p>
        </w:tc>
        <w:tc>
          <w:tcPr>
            <w:tcW w:w="4621" w:type="dxa"/>
          </w:tcPr>
          <w:p w14:paraId="208A952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基于 C/C++ 轻量库在正常网络下验证延迟表现与集成可行性</w:t>
            </w:r>
          </w:p>
        </w:tc>
      </w:tr>
      <w:tr w14:paraId="405A5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2C08F1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技术方案</w:t>
            </w:r>
          </w:p>
        </w:tc>
        <w:tc>
          <w:tcPr>
            <w:tcW w:w="4621" w:type="dxa"/>
          </w:tcPr>
          <w:p w14:paraId="787DF66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基于 libdatachannel 轻量级 WebRTC 库</w:t>
            </w:r>
          </w:p>
        </w:tc>
      </w:tr>
      <w:tr w14:paraId="6443C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318449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交付物</w:t>
            </w:r>
          </w:p>
        </w:tc>
        <w:tc>
          <w:tcPr>
            <w:tcW w:w="4621" w:type="dxa"/>
          </w:tcPr>
          <w:p w14:paraId="1BA10B9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延迟测试报告；集成 Demo；技术评估文档</w:t>
            </w:r>
          </w:p>
        </w:tc>
      </w:tr>
      <w:tr w14:paraId="70925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894AC9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预计周期</w:t>
            </w:r>
          </w:p>
        </w:tc>
        <w:tc>
          <w:tcPr>
            <w:tcW w:w="4621" w:type="dxa"/>
          </w:tcPr>
          <w:p w14:paraId="7D7280F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3~4 周</w:t>
            </w:r>
          </w:p>
        </w:tc>
      </w:tr>
      <w:tr w14:paraId="7B39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0A85B4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参与人员</w:t>
            </w:r>
          </w:p>
        </w:tc>
        <w:tc>
          <w:tcPr>
            <w:tcW w:w="4621" w:type="dxa"/>
          </w:tcPr>
          <w:p w14:paraId="0C4B5F6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朱正清（终端开发）、金博（感知算法支持）</w:t>
            </w:r>
          </w:p>
        </w:tc>
      </w:tr>
    </w:tbl>
    <w:p w14:paraId="50F12D7E">
      <w:pPr>
        <w:rPr>
          <w:rFonts w:hint="eastAsia"/>
          <w:lang w:eastAsia="zh-CN"/>
        </w:rPr>
      </w:pPr>
    </w:p>
    <w:p w14:paraId="33CA338C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阶段三：完整库集成与弱网测试（计划中）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0F09C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  <w:shd w:val="clear" w:color="auto" w:fill="0070C0"/>
          </w:tcPr>
          <w:p w14:paraId="79C187DD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项目</w:t>
            </w:r>
          </w:p>
        </w:tc>
        <w:tc>
          <w:tcPr>
            <w:tcW w:w="4621" w:type="dxa"/>
            <w:shd w:val="clear" w:color="auto" w:fill="0070C0"/>
          </w:tcPr>
          <w:p w14:paraId="4C041890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内容</w:t>
            </w:r>
          </w:p>
        </w:tc>
      </w:tr>
      <w:tr w14:paraId="2D6BC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A5C600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目标</w:t>
            </w:r>
          </w:p>
        </w:tc>
        <w:tc>
          <w:tcPr>
            <w:tcW w:w="4621" w:type="dxa"/>
          </w:tcPr>
          <w:p w14:paraId="7112DBE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基于完整 libwebrtc 在 Windows 平台进行正常网络及弱网模拟测试</w:t>
            </w:r>
          </w:p>
        </w:tc>
      </w:tr>
      <w:tr w14:paraId="2A0A6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FB6E0F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技术方案</w:t>
            </w:r>
          </w:p>
        </w:tc>
        <w:tc>
          <w:tcPr>
            <w:tcW w:w="4621" w:type="dxa"/>
          </w:tcPr>
          <w:p w14:paraId="31F1F06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集成完整 libwebrtc 库；搭建弱网模拟测试环境</w:t>
            </w:r>
          </w:p>
        </w:tc>
      </w:tr>
      <w:tr w14:paraId="04AE9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1372FB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交付物</w:t>
            </w:r>
          </w:p>
        </w:tc>
        <w:tc>
          <w:tcPr>
            <w:tcW w:w="4621" w:type="dxa"/>
          </w:tcPr>
          <w:p w14:paraId="485C668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弱网测试报告；性能基准数据；优化后的集成方案</w:t>
            </w:r>
          </w:p>
        </w:tc>
      </w:tr>
      <w:tr w14:paraId="23556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8A5A5B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预计周期</w:t>
            </w:r>
          </w:p>
        </w:tc>
        <w:tc>
          <w:tcPr>
            <w:tcW w:w="4621" w:type="dxa"/>
          </w:tcPr>
          <w:p w14:paraId="1E4B003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4~6 周</w:t>
            </w:r>
          </w:p>
        </w:tc>
      </w:tr>
      <w:tr w14:paraId="73AE1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3557B74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参与人员</w:t>
            </w:r>
          </w:p>
        </w:tc>
        <w:tc>
          <w:tcPr>
            <w:tcW w:w="4621" w:type="dxa"/>
          </w:tcPr>
          <w:p w14:paraId="6A22ABC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朱正清（终端开发）、金博（感知算法支持）</w:t>
            </w:r>
          </w:p>
        </w:tc>
      </w:tr>
    </w:tbl>
    <w:p w14:paraId="173C590F">
      <w:pPr>
        <w:rPr>
          <w:rFonts w:hint="eastAsia"/>
          <w:lang w:eastAsia="zh-CN"/>
        </w:rPr>
      </w:pPr>
    </w:p>
    <w:p w14:paraId="7C70A5A6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阶段四：产品级集成与验收（验收阶段）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621"/>
        <w:gridCol w:w="4621"/>
      </w:tblGrid>
      <w:tr w14:paraId="0622F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1" w:type="dxa"/>
            <w:shd w:val="clear" w:color="auto" w:fill="0070C0"/>
          </w:tcPr>
          <w:p w14:paraId="749D9E9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项目</w:t>
            </w:r>
          </w:p>
        </w:tc>
        <w:tc>
          <w:tcPr>
            <w:tcW w:w="4621" w:type="dxa"/>
            <w:shd w:val="clear" w:color="auto" w:fill="0070C0"/>
          </w:tcPr>
          <w:p w14:paraId="577A523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内容</w:t>
            </w:r>
          </w:p>
        </w:tc>
      </w:tr>
      <w:tr w14:paraId="71404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609A679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目标</w:t>
            </w:r>
          </w:p>
        </w:tc>
        <w:tc>
          <w:tcPr>
            <w:tcW w:w="4621" w:type="dxa"/>
          </w:tcPr>
          <w:p w14:paraId="063D6CD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编译为公共库，部署至本体和终端，完成产品级验证</w:t>
            </w:r>
          </w:p>
        </w:tc>
      </w:tr>
      <w:tr w14:paraId="1F3B8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CCB982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技术方案</w:t>
            </w:r>
          </w:p>
        </w:tc>
        <w:tc>
          <w:tcPr>
            <w:tcW w:w="4621" w:type="dxa"/>
          </w:tcPr>
          <w:p w14:paraId="67B5B60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封装为统一接口的公共库；集成至产品主线；端到端联调测试</w:t>
            </w:r>
          </w:p>
        </w:tc>
      </w:tr>
      <w:tr w14:paraId="1707B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4E9D2BF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交付物</w:t>
            </w:r>
          </w:p>
        </w:tc>
        <w:tc>
          <w:tcPr>
            <w:tcW w:w="4621" w:type="dxa"/>
          </w:tcPr>
          <w:p w14:paraId="6C421FB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公共库发布包；集成指南；测试报告；性能对比报告</w:t>
            </w:r>
          </w:p>
        </w:tc>
      </w:tr>
      <w:tr w14:paraId="41C6F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79956B4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预计周期</w:t>
            </w:r>
          </w:p>
        </w:tc>
        <w:tc>
          <w:tcPr>
            <w:tcW w:w="4621" w:type="dxa"/>
          </w:tcPr>
          <w:p w14:paraId="297AFFD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4~6 周</w:t>
            </w:r>
          </w:p>
        </w:tc>
      </w:tr>
      <w:tr w14:paraId="2B920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621" w:type="dxa"/>
          </w:tcPr>
          <w:p w14:paraId="0BB7FC2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前置条件</w:t>
            </w:r>
          </w:p>
        </w:tc>
        <w:tc>
          <w:tcPr>
            <w:tcW w:w="4621" w:type="dxa"/>
          </w:tcPr>
          <w:p w14:paraId="73523C8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阶段二、三验证通过</w:t>
            </w:r>
          </w:p>
        </w:tc>
      </w:tr>
    </w:tbl>
    <w:p w14:paraId="712234C2">
      <w:pPr>
        <w:rPr>
          <w:rFonts w:hint="eastAsia"/>
          <w:lang w:eastAsia="zh-CN"/>
        </w:rPr>
      </w:pPr>
    </w:p>
    <w:p w14:paraId="3194E316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9.3 资源投入计划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0A233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310" w:type="dxa"/>
            <w:shd w:val="clear" w:color="auto" w:fill="0070C0"/>
          </w:tcPr>
          <w:p w14:paraId="2D5DEA3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角色</w:t>
            </w:r>
          </w:p>
        </w:tc>
        <w:tc>
          <w:tcPr>
            <w:tcW w:w="2310" w:type="dxa"/>
            <w:shd w:val="clear" w:color="auto" w:fill="0070C0"/>
          </w:tcPr>
          <w:p w14:paraId="71F0E76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人员</w:t>
            </w:r>
          </w:p>
        </w:tc>
        <w:tc>
          <w:tcPr>
            <w:tcW w:w="2311" w:type="dxa"/>
            <w:shd w:val="clear" w:color="auto" w:fill="0070C0"/>
          </w:tcPr>
          <w:p w14:paraId="14DE4A8A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投入比例</w:t>
            </w:r>
          </w:p>
        </w:tc>
        <w:tc>
          <w:tcPr>
            <w:tcW w:w="2311" w:type="dxa"/>
            <w:shd w:val="clear" w:color="auto" w:fill="0070C0"/>
          </w:tcPr>
          <w:p w14:paraId="50D19BA2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职责</w:t>
            </w:r>
          </w:p>
        </w:tc>
      </w:tr>
      <w:tr w14:paraId="5DC28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6626E2F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终端开发</w:t>
            </w:r>
          </w:p>
        </w:tc>
        <w:tc>
          <w:tcPr>
            <w:tcW w:w="2310" w:type="dxa"/>
          </w:tcPr>
          <w:p w14:paraId="3BD9734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</w:t>
            </w:r>
          </w:p>
        </w:tc>
        <w:tc>
          <w:tcPr>
            <w:tcW w:w="2311" w:type="dxa"/>
          </w:tcPr>
          <w:p w14:paraId="0C38953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核心投入</w:t>
            </w:r>
          </w:p>
        </w:tc>
        <w:tc>
          <w:tcPr>
            <w:tcW w:w="2311" w:type="dxa"/>
          </w:tcPr>
          <w:p w14:paraId="1E431E5A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WebRTC 客户端集成、信令实现、性能调优</w:t>
            </w:r>
          </w:p>
        </w:tc>
      </w:tr>
      <w:tr w14:paraId="660D2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5E6A8F4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感知算法</w:t>
            </w:r>
          </w:p>
        </w:tc>
        <w:tc>
          <w:tcPr>
            <w:tcW w:w="2310" w:type="dxa"/>
          </w:tcPr>
          <w:p w14:paraId="558B5AA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金博</w:t>
            </w:r>
          </w:p>
        </w:tc>
        <w:tc>
          <w:tcPr>
            <w:tcW w:w="2311" w:type="dxa"/>
          </w:tcPr>
          <w:p w14:paraId="5AA3C40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部分投入</w:t>
            </w:r>
          </w:p>
        </w:tc>
        <w:tc>
          <w:tcPr>
            <w:tcW w:w="2311" w:type="dxa"/>
          </w:tcPr>
          <w:p w14:paraId="36F1C38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编解码优化、视频处理算法支持</w:t>
            </w:r>
          </w:p>
        </w:tc>
      </w:tr>
      <w:tr w14:paraId="16369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310" w:type="dxa"/>
          </w:tcPr>
          <w:p w14:paraId="1953F22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总预计周期</w:t>
            </w:r>
          </w:p>
        </w:tc>
        <w:tc>
          <w:tcPr>
            <w:tcW w:w="2310" w:type="dxa"/>
          </w:tcPr>
          <w:p w14:paraId="3B40EBA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2~3 个月</w:t>
            </w:r>
          </w:p>
        </w:tc>
        <w:tc>
          <w:tcPr>
            <w:tcW w:w="2311" w:type="dxa"/>
          </w:tcPr>
          <w:p w14:paraId="0435ABD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—</w:t>
            </w:r>
          </w:p>
        </w:tc>
        <w:tc>
          <w:tcPr>
            <w:tcW w:w="2311" w:type="dxa"/>
          </w:tcPr>
          <w:p w14:paraId="26649C2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中途各阶段会输出阶段性成果物</w:t>
            </w:r>
          </w:p>
        </w:tc>
      </w:tr>
    </w:tbl>
    <w:p w14:paraId="35633FBA">
      <w:pPr>
        <w:rPr>
          <w:rFonts w:hint="eastAsia"/>
          <w:lang w:eastAsia="zh-CN"/>
        </w:rPr>
      </w:pPr>
    </w:p>
    <w:p w14:paraId="49408794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479A0BA7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10. 风险管理与应急预案</w:t>
      </w:r>
    </w:p>
    <w:p w14:paraId="140D6FCC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10.1 降级与回退方案</w:t>
      </w:r>
    </w:p>
    <w:p w14:paraId="28B827ED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为确保产品稳定性不受预研过程影响，制定以下降级策略：</w:t>
      </w:r>
    </w:p>
    <w:p w14:paraId="6173BC57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架构设计保留 RTSP 回退能力：传输层设计统一抽象接口，支持 WebRTC 与 RTSP 双通道切换，确保 WebRTC 方案出现问题时可无缝回退至 RTSP over TCP。</w:t>
      </w:r>
    </w:p>
    <w:p w14:paraId="4AD407D6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灰度发布策略：WebRTC 方案上线初期采用灰度方式，仅对部分终端启用，验证稳定后逐步全量推广。</w:t>
      </w:r>
    </w:p>
    <w:p w14:paraId="3E49CAE1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自动降级机制：运行时监测 WebRTC 连接质量，当连接建立失败或传输质量低于阈值时，自动切换至 RTSP 传输通道。</w:t>
      </w:r>
    </w:p>
    <w:p w14:paraId="48E2B3A9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10.2 关键风险应对</w:t>
      </w:r>
    </w:p>
    <w:p w14:paraId="457E5DCA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进度风险：阶段间设置明确的 Go/No-Go 检查点，若当前阶段未达标则暂停推进，避免资源浪费。</w:t>
      </w:r>
    </w:p>
    <w:p w14:paraId="13EF4F1C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技术风险：每阶段输出技术评估报告，及时暴露技术瓶颈并调整方案。</w:t>
      </w:r>
    </w:p>
    <w:p w14:paraId="4EB5F94C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人员风险：关键技术文档和代码充分注释，确保知识不集中在单点人员。</w:t>
      </w:r>
    </w:p>
    <w:p w14:paraId="126FDEB3">
      <w:pP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br w:type="page"/>
      </w:r>
    </w:p>
    <w:p w14:paraId="0405AE84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11. 成本效益分析</w:t>
      </w:r>
    </w:p>
    <w:p w14:paraId="046FF0DB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11.1 投入成本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0"/>
        <w:gridCol w:w="3081"/>
        <w:gridCol w:w="3081"/>
      </w:tblGrid>
      <w:tr w14:paraId="72002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  <w:shd w:val="clear" w:color="auto" w:fill="0070C0"/>
          </w:tcPr>
          <w:p w14:paraId="1A814DF7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成本项</w:t>
            </w:r>
          </w:p>
        </w:tc>
        <w:tc>
          <w:tcPr>
            <w:tcW w:w="3081" w:type="dxa"/>
            <w:shd w:val="clear" w:color="auto" w:fill="0070C0"/>
          </w:tcPr>
          <w:p w14:paraId="47E44283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说明</w:t>
            </w:r>
          </w:p>
        </w:tc>
        <w:tc>
          <w:tcPr>
            <w:tcW w:w="3081" w:type="dxa"/>
            <w:shd w:val="clear" w:color="auto" w:fill="0070C0"/>
          </w:tcPr>
          <w:p w14:paraId="286FE1AF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预估</w:t>
            </w:r>
          </w:p>
        </w:tc>
      </w:tr>
      <w:tr w14:paraId="493AC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3E7674C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人力成本</w:t>
            </w:r>
          </w:p>
        </w:tc>
        <w:tc>
          <w:tcPr>
            <w:tcW w:w="3081" w:type="dxa"/>
          </w:tcPr>
          <w:p w14:paraId="6C22CD60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朱正清（核心）+ 金博（部分）投入 2~3 个月</w:t>
            </w:r>
          </w:p>
        </w:tc>
        <w:tc>
          <w:tcPr>
            <w:tcW w:w="3081" w:type="dxa"/>
          </w:tcPr>
          <w:p w14:paraId="2ECA9D3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主要成本项</w:t>
            </w:r>
          </w:p>
        </w:tc>
      </w:tr>
      <w:tr w14:paraId="4E99F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13291D1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基础设施</w:t>
            </w:r>
          </w:p>
        </w:tc>
        <w:tc>
          <w:tcPr>
            <w:tcW w:w="3081" w:type="dxa"/>
          </w:tcPr>
          <w:p w14:paraId="02BBD47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TURN 服务器部署（如需公网穿透场景）</w:t>
            </w:r>
          </w:p>
        </w:tc>
        <w:tc>
          <w:tcPr>
            <w:tcW w:w="3081" w:type="dxa"/>
          </w:tcPr>
          <w:p w14:paraId="2053ED9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较低，可复用现有服务器或使用开源方案 coturn</w:t>
            </w:r>
          </w:p>
        </w:tc>
      </w:tr>
      <w:tr w14:paraId="645AC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444B339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测试环境</w:t>
            </w:r>
          </w:p>
        </w:tc>
        <w:tc>
          <w:tcPr>
            <w:tcW w:w="3081" w:type="dxa"/>
          </w:tcPr>
          <w:p w14:paraId="7FDE668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弱网模拟工具、测试终端</w:t>
            </w:r>
          </w:p>
        </w:tc>
        <w:tc>
          <w:tcPr>
            <w:tcW w:w="3081" w:type="dxa"/>
          </w:tcPr>
          <w:p w14:paraId="6190F2B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较低，可使用现有设备 + 开源工具</w:t>
            </w:r>
          </w:p>
        </w:tc>
      </w:tr>
      <w:tr w14:paraId="278CE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7AD51B4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培训成本</w:t>
            </w:r>
          </w:p>
        </w:tc>
        <w:tc>
          <w:tcPr>
            <w:tcW w:w="3081" w:type="dxa"/>
          </w:tcPr>
          <w:p w14:paraId="35E6DEB6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WebRTC 技术学习周期</w:t>
            </w:r>
          </w:p>
        </w:tc>
        <w:tc>
          <w:tcPr>
            <w:tcW w:w="3081" w:type="dxa"/>
          </w:tcPr>
          <w:p w14:paraId="72E368E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已包含在项目周期内</w:t>
            </w:r>
          </w:p>
        </w:tc>
      </w:tr>
    </w:tbl>
    <w:p w14:paraId="113A0F7E">
      <w:pPr>
        <w:rPr>
          <w:rFonts w:hint="eastAsia"/>
          <w:lang w:eastAsia="zh-CN"/>
        </w:rPr>
      </w:pPr>
    </w:p>
    <w:p w14:paraId="60056058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11.2 预期收益</w:t>
      </w:r>
    </w:p>
    <w:p w14:paraId="2DA8C281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延迟降低：从当前 250ms 降至 200ms 以内，提升用户操控体验。</w:t>
      </w:r>
    </w:p>
    <w:p w14:paraId="1BC79E7A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弱网适应性：在网络波动场景下保持视频流畅，减少运维问题反馈。</w:t>
      </w:r>
    </w:p>
    <w:p w14:paraId="4B26159C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开发效率：浏览器端无需专用播放器，降低客户端适配和维护成本。</w:t>
      </w:r>
    </w:p>
    <w:p w14:paraId="44781C4D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技术资产沉淀：形成可复用的音视频传输公共库，服务后续项目。</w:t>
      </w:r>
    </w:p>
    <w:p w14:paraId="37201871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消除第三方依赖风险：避免商业 SDK 的授权费用和 vendor lock-in。</w:t>
      </w:r>
    </w:p>
    <w:p w14:paraId="23AE3111">
      <w:pP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br w:type="page"/>
      </w:r>
    </w:p>
    <w:p w14:paraId="0C5D2E3F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12. 验收标准与交付物</w:t>
      </w:r>
    </w:p>
    <w:p w14:paraId="5BF2598E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12.1 验收标准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3080"/>
        <w:gridCol w:w="3081"/>
        <w:gridCol w:w="3081"/>
      </w:tblGrid>
      <w:tr w14:paraId="6F0F2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  <w:shd w:val="clear" w:color="auto" w:fill="0070C0"/>
          </w:tcPr>
          <w:p w14:paraId="261EAB71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验收指标</w:t>
            </w:r>
          </w:p>
        </w:tc>
        <w:tc>
          <w:tcPr>
            <w:tcW w:w="3081" w:type="dxa"/>
            <w:shd w:val="clear" w:color="auto" w:fill="0070C0"/>
          </w:tcPr>
          <w:p w14:paraId="748AB092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目标值</w:t>
            </w:r>
          </w:p>
        </w:tc>
        <w:tc>
          <w:tcPr>
            <w:tcW w:w="3081" w:type="dxa"/>
            <w:shd w:val="clear" w:color="auto" w:fill="0070C0"/>
          </w:tcPr>
          <w:p w14:paraId="5C1BBF84">
            <w:pPr>
              <w:jc w:val="left"/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18"/>
                <w:vertAlign w:val="baseline"/>
                <w:lang w:eastAsia="zh-CN"/>
              </w:rPr>
              <w:t>验证方法</w:t>
            </w:r>
          </w:p>
        </w:tc>
      </w:tr>
      <w:tr w14:paraId="300B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1DC0813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端到端延迟</w:t>
            </w:r>
          </w:p>
        </w:tc>
        <w:tc>
          <w:tcPr>
            <w:tcW w:w="3081" w:type="dxa"/>
          </w:tcPr>
          <w:p w14:paraId="7D3B21B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&lt; 200ms（局域网），&lt; 300ms（公网）</w:t>
            </w:r>
          </w:p>
        </w:tc>
        <w:tc>
          <w:tcPr>
            <w:tcW w:w="3081" w:type="dxa"/>
          </w:tcPr>
          <w:p w14:paraId="193CD19E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时间戳对比，多次测试取平均值</w:t>
            </w:r>
          </w:p>
        </w:tc>
      </w:tr>
      <w:tr w14:paraId="037F3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39A76E54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首帧时间</w:t>
            </w:r>
          </w:p>
        </w:tc>
        <w:tc>
          <w:tcPr>
            <w:tcW w:w="3081" w:type="dxa"/>
          </w:tcPr>
          <w:p w14:paraId="204D2009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&lt; 500ms</w:t>
            </w:r>
          </w:p>
        </w:tc>
        <w:tc>
          <w:tcPr>
            <w:tcW w:w="3081" w:type="dxa"/>
          </w:tcPr>
          <w:p w14:paraId="002CC18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冷启动场景计时</w:t>
            </w:r>
          </w:p>
        </w:tc>
      </w:tr>
      <w:tr w14:paraId="0E6D5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708D309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弱网流畅度</w:t>
            </w:r>
          </w:p>
        </w:tc>
        <w:tc>
          <w:tcPr>
            <w:tcW w:w="3081" w:type="dxa"/>
          </w:tcPr>
          <w:p w14:paraId="3B5D0308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20% 丢包率下无明显卡顿</w:t>
            </w:r>
          </w:p>
        </w:tc>
        <w:tc>
          <w:tcPr>
            <w:tcW w:w="3081" w:type="dxa"/>
          </w:tcPr>
          <w:p w14:paraId="1CE0FBD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弱网模拟工具 + 主观/客观评价</w:t>
            </w:r>
          </w:p>
        </w:tc>
      </w:tr>
      <w:tr w14:paraId="3C6FB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2D726E6B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连接成功率</w:t>
            </w:r>
          </w:p>
        </w:tc>
        <w:tc>
          <w:tcPr>
            <w:tcW w:w="3081" w:type="dxa"/>
          </w:tcPr>
          <w:p w14:paraId="2C2FB26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&gt; 95%（含 NAT 穿透场景）</w:t>
            </w:r>
          </w:p>
        </w:tc>
        <w:tc>
          <w:tcPr>
            <w:tcW w:w="3081" w:type="dxa"/>
          </w:tcPr>
          <w:p w14:paraId="44B71A2D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多网络环境批量测试统计</w:t>
            </w:r>
          </w:p>
        </w:tc>
      </w:tr>
      <w:tr w14:paraId="3DB8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54E2A305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系统稳定性</w:t>
            </w:r>
          </w:p>
        </w:tc>
        <w:tc>
          <w:tcPr>
            <w:tcW w:w="3081" w:type="dxa"/>
          </w:tcPr>
          <w:p w14:paraId="4A12A581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连续运行 24h 无崩溃、无内存泄漏</w:t>
            </w:r>
          </w:p>
        </w:tc>
        <w:tc>
          <w:tcPr>
            <w:tcW w:w="3081" w:type="dxa"/>
          </w:tcPr>
          <w:p w14:paraId="48554E4C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长稳测试 + 资源监控</w:t>
            </w:r>
          </w:p>
        </w:tc>
      </w:tr>
      <w:tr w14:paraId="4086A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80" w:type="dxa"/>
          </w:tcPr>
          <w:p w14:paraId="3DA3C237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安全性</w:t>
            </w:r>
          </w:p>
        </w:tc>
        <w:tc>
          <w:tcPr>
            <w:tcW w:w="3081" w:type="dxa"/>
          </w:tcPr>
          <w:p w14:paraId="4F2C3943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媒体流全程 SRTP 加密</w:t>
            </w:r>
          </w:p>
        </w:tc>
        <w:tc>
          <w:tcPr>
            <w:tcW w:w="3081" w:type="dxa"/>
          </w:tcPr>
          <w:p w14:paraId="56AD2352">
            <w:pPr>
              <w:jc w:val="left"/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vertAlign w:val="baseline"/>
                <w:lang w:eastAsia="zh-CN"/>
              </w:rPr>
              <w:t>抓包验证加密传输</w:t>
            </w:r>
          </w:p>
        </w:tc>
      </w:tr>
    </w:tbl>
    <w:p w14:paraId="6157D316">
      <w:pPr>
        <w:rPr>
          <w:rFonts w:hint="eastAsia"/>
          <w:lang w:eastAsia="zh-CN"/>
        </w:rPr>
      </w:pPr>
    </w:p>
    <w:p w14:paraId="3C39D8B6">
      <w:pPr>
        <w:pStyle w:val="3"/>
        <w:bidi w:val="0"/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8"/>
          <w:lang w:eastAsia="zh-CN"/>
        </w:rPr>
        <w:t>12.2 交付物清单</w:t>
      </w:r>
    </w:p>
    <w:p w14:paraId="3A9FD735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WebRTC 音视频传输公共库（含 API 文档）</w:t>
      </w:r>
    </w:p>
    <w:p w14:paraId="5C22CF31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信令服务器参考实现</w:t>
      </w:r>
    </w:p>
    <w:p w14:paraId="1FA37595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各阶段测试报告（延迟、弱网、稳定性）</w:t>
      </w:r>
    </w:p>
    <w:p w14:paraId="129BD02D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WebRTC 与 RTSP 性能对比报告</w:t>
      </w:r>
    </w:p>
    <w:p w14:paraId="110A09B0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集成指南与最佳实践文档</w:t>
      </w:r>
    </w:p>
    <w:p w14:paraId="2428A8EC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技术预研总结报告</w:t>
      </w:r>
    </w:p>
    <w:p w14:paraId="58B87229">
      <w:pP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br w:type="page"/>
      </w:r>
    </w:p>
    <w:p w14:paraId="5938E90E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13. 会议决策议题</w:t>
      </w:r>
    </w:p>
    <w:p w14:paraId="79DE7919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请参会人员就以下议题进行讨论并形成决议：</w:t>
      </w:r>
    </w:p>
    <w:p w14:paraId="588C1D11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议题一：是否启动 WebRTC 技术预研？</w:t>
      </w:r>
    </w:p>
    <w:p w14:paraId="5EAACA86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若否：终止预研计划，归档现有成果，后续视需求重新评估。</w:t>
      </w:r>
    </w:p>
    <w:p w14:paraId="5B9F8ED9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若是：确认采用哪条技术路线（推荐：自研基于 libwebrtc），进入下一议题。</w:t>
      </w:r>
    </w:p>
    <w:p w14:paraId="2970D288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议题二：资源投入确认</w:t>
      </w:r>
    </w:p>
    <w:p w14:paraId="5CBC2C2B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人员投入：朱正清（终端开发，核心投入）、金博（感知算法，部分投入）。</w:t>
      </w:r>
    </w:p>
    <w:p w14:paraId="62EED0C8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时间投入：预计 2~3 个月出最终成果物，中途各阶段输出阶段性结果。</w:t>
      </w:r>
    </w:p>
    <w:p w14:paraId="401F17C3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议题三：验收标准确认</w:t>
      </w:r>
    </w:p>
    <w:p w14:paraId="4025AFAB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延迟目标：端到端 &lt; 200ms（局域网）。</w:t>
      </w:r>
    </w:p>
    <w:p w14:paraId="3BFD6769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弱网指标：20% 丢包率下无明显卡顿。</w:t>
      </w:r>
    </w:p>
    <w:p w14:paraId="2F0B1572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稳定性指标：连续运行 24h 无崩溃。</w:t>
      </w:r>
    </w:p>
    <w:p w14:paraId="37D3AFAF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其他指标由参会人员补充确认。</w:t>
      </w:r>
    </w:p>
    <w:p w14:paraId="6CD2D34E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议题四：时间节点与风险预案</w:t>
      </w:r>
    </w:p>
    <w:p w14:paraId="19559BD6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确认各阶段里程碑时间节点。</w:t>
      </w:r>
    </w:p>
    <w:p w14:paraId="5982CCA5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确认 Go/No-Go 检查点标准。</w:t>
      </w:r>
    </w:p>
    <w:p w14:paraId="5B672107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确认降级回退方案的实施策略。</w:t>
      </w:r>
    </w:p>
    <w:p w14:paraId="2DC70CAA">
      <w:pPr>
        <w:pStyle w:val="4"/>
        <w:bidi w:val="0"/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4"/>
          <w:lang w:eastAsia="zh-CN"/>
        </w:rPr>
        <w:t>议题五：明确产出与后续行动</w:t>
      </w:r>
    </w:p>
    <w:p w14:paraId="76DE3520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若通过：指定项目负责人，确认分阶段里程碑和验收方式。</w:t>
      </w:r>
    </w:p>
    <w:p w14:paraId="76501FF7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若不通过：记录决策原因，备档后续参考。</w:t>
      </w:r>
    </w:p>
    <w:p w14:paraId="45631E6F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若有条件通过：明确需满足的前置条件和时间要求。</w:t>
      </w:r>
    </w:p>
    <w:p w14:paraId="3E04FA47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14. 问答环节</w:t>
      </w:r>
    </w:p>
    <w:p w14:paraId="7805B1DA">
      <w:pPr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参会人员可就上述内容提问，由朱正清、金博解答。若无法当场答复，记录为待办事项，会后查阅补充。</w:t>
      </w:r>
    </w:p>
    <w:p w14:paraId="15BCB9AD">
      <w:pPr>
        <w:bidi w:val="0"/>
        <w:rPr>
          <w:rFonts w:hint="eastAsia"/>
          <w:sz w:val="12"/>
          <w:lang w:eastAsia="zh-CN"/>
        </w:rPr>
      </w:pPr>
    </w:p>
    <w:p w14:paraId="0174F5B7">
      <w:pPr>
        <w:pStyle w:val="2"/>
        <w:bidi w:val="0"/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36"/>
          <w:lang w:eastAsia="zh-CN"/>
        </w:rPr>
        <w:t>15. 总结与后续行动</w:t>
      </w:r>
    </w:p>
    <w:p w14:paraId="5A6FD342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记录所有结论、待办事项、责任人及截止时间。</w:t>
      </w:r>
    </w:p>
    <w:p w14:paraId="418EC59E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会后 24 小时内发送会议纪要给所有参会人员。</w:t>
      </w:r>
    </w:p>
    <w:p w14:paraId="06D11013">
      <w:pPr>
        <w:pStyle w:val="5"/>
        <w:bidi w:val="0"/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2"/>
          <w:lang w:eastAsia="zh-CN"/>
        </w:rPr>
        <w:t>若决定启动预研，一周内完成详细项目计划并启动阶段二。</w:t>
      </w:r>
    </w:p>
    <w:p w14:paraId="55B48E4A">
      <w:pPr>
        <w:bidi w:val="0"/>
        <w:rPr>
          <w:rFonts w:hint="eastAsia"/>
          <w:sz w:val="12"/>
          <w:lang w:eastAsia="zh-CN"/>
        </w:rPr>
      </w:pPr>
    </w:p>
    <w:p w14:paraId="08ED4025">
      <w:pPr>
        <w:bidi w:val="0"/>
        <w:rPr>
          <w:rFonts w:hint="eastAsia"/>
          <w:sz w:val="12"/>
          <w:lang w:eastAsia="zh-CN"/>
        </w:rPr>
      </w:pPr>
    </w:p>
    <w:p w14:paraId="4AC92DD1">
      <w:pPr>
        <w:bidi w:val="0"/>
        <w:rPr>
          <w:rFonts w:hint="eastAsia" w:ascii="微软雅黑" w:hAnsi="微软雅黑" w:eastAsia="微软雅黑" w:cs="微软雅黑"/>
          <w:b/>
          <w:color w:val="000000"/>
          <w:sz w:val="22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0000"/>
          <w:sz w:val="22"/>
          <w:lang w:eastAsia="zh-CN"/>
        </w:rPr>
        <w:t>— 文档结束 —</w:t>
      </w:r>
    </w:p>
    <w:p w14:paraId="0C8949E1">
      <w:pPr>
        <w:bidi w:val="0"/>
        <w:rPr>
          <w:rFonts w:hint="eastAsia" w:ascii="微软雅黑" w:hAnsi="微软雅黑" w:eastAsia="微软雅黑" w:cs="微软雅黑"/>
          <w:b/>
          <w:color w:val="000000"/>
          <w:sz w:val="22"/>
          <w:lang w:eastAsia="zh-CN"/>
        </w:rPr>
      </w:pP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A19A8"/>
    <w:rsid w:val="542A1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"/>
    <w:basedOn w:val="1"/>
    <w:uiPriority w:val="0"/>
    <w:pPr>
      <w:ind w:left="200" w:hanging="200" w:hangingChars="200"/>
    </w:p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2026-03-04T09:21:00Z</dcterms:created>
  <dc:creator>Auptye</dc:creator>
  <cp:lastModifiedBy>Auptye</cp:lastModifiedBy>
  <dcterms:modified xsi:type="dcterms:W3CDTF">2026-03-04T09:21:45Z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CA86887E91D7457B954F94AF90CA4D35_11</vt:lpwstr>
  </property>
</Properties>
</file>