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 - 训练定量估算市场大小，理性思考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定量计算是理性决策的基础。我们需要用</w:t>
      </w:r>
      <w:r>
        <w:rPr>
          <w:rFonts w:eastAsia="等线" w:ascii="Arial" w:cs="Arial" w:hAnsi="Arial"/>
          <w:b w:val="true"/>
          <w:sz w:val="22"/>
        </w:rPr>
        <w:t>TAM/SAM/SOM</w:t>
      </w:r>
      <w:r>
        <w:rPr>
          <w:rFonts w:eastAsia="等线" w:ascii="Arial" w:cs="Arial" w:hAnsi="Arial"/>
          <w:sz w:val="22"/>
        </w:rPr>
        <w:t>模型来估算市场规模，用</w:t>
      </w:r>
      <w:r>
        <w:rPr>
          <w:rFonts w:eastAsia="等线" w:ascii="Arial" w:cs="Arial" w:hAnsi="Arial"/>
          <w:b w:val="true"/>
          <w:sz w:val="22"/>
        </w:rPr>
        <w:t>成本结构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盈亏平衡</w:t>
      </w:r>
      <w:r>
        <w:rPr>
          <w:rFonts w:eastAsia="等线" w:ascii="Arial" w:cs="Arial" w:hAnsi="Arial"/>
          <w:sz w:val="22"/>
        </w:rPr>
        <w:t>来分析盈利模型，用</w:t>
      </w:r>
      <w:r>
        <w:rPr>
          <w:rFonts w:eastAsia="等线" w:ascii="Arial" w:cs="Arial" w:hAnsi="Arial"/>
          <w:b w:val="true"/>
          <w:sz w:val="22"/>
        </w:rPr>
        <w:t>ROI</w:t>
      </w:r>
      <w:r>
        <w:rPr>
          <w:rFonts w:eastAsia="等线" w:ascii="Arial" w:cs="Arial" w:hAnsi="Arial"/>
          <w:sz w:val="22"/>
        </w:rPr>
        <w:t>来评估投资回报。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一、市场规模估算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目标客户群体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银行类型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城商行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124家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资产千亿级别，有独立IT团队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 核心目标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农商行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1563家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资产百亿级别，IT能力较弱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 重要目标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农村信用社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458家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规模较小，IT基础薄弱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★★★☆☆ 潜力目标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村镇银行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1538家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规模最小，IT能力有限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★★☆☆☆ 长期目标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 xml:space="preserve">：城商行 + 农商行 ≈ </w:t>
      </w:r>
      <w:r>
        <w:rPr>
          <w:rFonts w:eastAsia="等线" w:ascii="Arial" w:cs="Arial" w:hAnsi="Arial"/>
          <w:b w:val="true"/>
          <w:sz w:val="22"/>
        </w:rPr>
        <w:t>1700家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TAM/ SAM/ SOM测算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TAM（Total Addressable Market，总可市场）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公式：目标客户数 × 平均IT预算 × AI投入占比</w:t>
              <w:br/>
              <w:t xml:space="preserve">    = 1700家 × 5000万/年 × 5%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= 42.5亿元/年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TAM = 42.5亿元/年</w:t>
      </w:r>
      <w:r>
        <w:rPr>
          <w:rFonts w:eastAsia="等线" w:ascii="Arial" w:cs="Arial" w:hAnsi="Arial"/>
          <w:sz w:val="22"/>
        </w:rPr>
        <w:t>（城商行+农商行AI投入）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SAM（Serviceable Addressable Market，可服务市场）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公式：TAM × 目标场景占比</w:t>
              <w:br/>
              <w:t xml:space="preserve">    = 42.5亿 × 30%（办公智能体场景）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= 12.75亿元/年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SAM = 12.75亿元/年</w:t>
      </w:r>
      <w:r>
        <w:rPr>
          <w:rFonts w:eastAsia="等线" w:ascii="Arial" w:cs="Arial" w:hAnsi="Arial"/>
          <w:sz w:val="22"/>
        </w:rPr>
        <w:t>（办公智能体细分市场）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SOM（Serviceable Obtainable Market，可获得市场）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公式：SAM × 目标市场份额</w:t>
              <w:br/>
              <w:t xml:space="preserve">    = 12.75亿 × 1-3%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= 1275万-3825万元/年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SOM = 1500万-4000万元/年</w:t>
      </w:r>
      <w:r>
        <w:rPr>
          <w:rFonts w:eastAsia="等线" w:ascii="Arial" w:cs="Arial" w:hAnsi="Arial"/>
          <w:sz w:val="22"/>
        </w:rPr>
        <w:t>（首年可获得市场）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1.3 市场机会总结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42.5亿元/年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中小银行AI总投入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12.75亿元/年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办公智能体市场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SOM（首年）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1500-4000万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可获得市场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目标客户数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1700家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城商行+农商行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二、成本结构分析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 MVP阶段成本（6个月）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人力成本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产品/开发（2人）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3.6万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前后端兼顾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AI配置（1人）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测试/UI（1人）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兼设计+测试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商务（1人）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渠道洽谈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运营成本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服务器/云服务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Dify云端服务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按量付费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公司注册/代账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工商+记账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市场/渠道开拓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拜访客户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一次性成本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软件著作权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1个软著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域名/备案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2.1万/月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13.3万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首年运营成本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首年成本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人力成本（1.5万×12）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云服务/服务器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3.6万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公司运营（注册+代账）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市场/渠道开拓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其他杂费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29.3万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三、盈利模型分析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定价策略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245"/>
        <w:gridCol w:w="1395"/>
        <w:gridCol w:w="1335"/>
        <w:gridCol w:w="1335"/>
        <w:gridCol w:w="148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目标客户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预估成本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毛利率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基础版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9.9万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农商行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3万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6.9万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标准版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19.9万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城商行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5万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14.9万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企业版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29.9万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大农商行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8万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21.9万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平均售价</w:t>
      </w:r>
      <w:r>
        <w:rPr>
          <w:rFonts w:eastAsia="等线" w:ascii="Arial" w:cs="Arial" w:hAnsi="Arial"/>
          <w:sz w:val="22"/>
        </w:rPr>
        <w:t>：约15万/套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平均毛利</w:t>
      </w:r>
      <w:r>
        <w:rPr>
          <w:rFonts w:eastAsia="等线" w:ascii="Arial" w:cs="Arial" w:hAnsi="Arial"/>
          <w:sz w:val="22"/>
        </w:rPr>
        <w:t>：约11万/套（70%+）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盈亏平衡分析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盈亏平衡点 = 固定成本 / (平均售价 - 平均可变成本)</w:t>
              <w:br/>
              <w:t xml:space="preserve">           = 29.3万 / (15万 - 2万)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= 2.26套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盈亏平衡点</w:t>
      </w:r>
      <w:r>
        <w:rPr>
          <w:rFonts w:eastAsia="等线" w:ascii="Arial" w:cs="Arial" w:hAnsi="Arial"/>
          <w:sz w:val="22"/>
        </w:rPr>
        <w:t>：约</w:t>
      </w:r>
      <w:r>
        <w:rPr>
          <w:rFonts w:eastAsia="等线" w:ascii="Arial" w:cs="Arial" w:hAnsi="Arial"/>
          <w:b w:val="true"/>
          <w:sz w:val="22"/>
        </w:rPr>
        <w:t>3套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投资回报率测算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场景1：保守（首年10套）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489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× 15万 = 150万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净利润（约20%税后）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约97万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 = 97万 / 29万 = 335%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场景2：正常（首年20套）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525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× 15万 = 300万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40万（含扩充1-2人）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净利润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约208万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 = 208万 / 40万 = 520%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场景3：乐观（首年30套）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× 15万 = 450万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395万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净利润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约316万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 = 316万 / 55万 = 575%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四、收入预测（3年）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290"/>
        <w:gridCol w:w="1230"/>
        <w:gridCol w:w="1230"/>
        <w:gridCol w:w="1230"/>
        <w:gridCol w:w="1050"/>
        <w:gridCol w:w="105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销量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毛利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净利润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第1年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15万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150万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第2年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15万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375万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315万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252万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第3年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15万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750万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650万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520万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3年累计净利润</w:t>
      </w:r>
      <w:r>
        <w:rPr>
          <w:rFonts w:eastAsia="等线" w:ascii="Arial" w:cs="Arial" w:hAnsi="Arial"/>
          <w:sz w:val="22"/>
        </w:rPr>
        <w:t>：约</w:t>
      </w:r>
      <w:r>
        <w:rPr>
          <w:rFonts w:eastAsia="等线" w:ascii="Arial" w:cs="Arial" w:hAnsi="Arial"/>
          <w:b w:val="true"/>
          <w:sz w:val="22"/>
        </w:rPr>
        <w:t>870万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五、计算方法总结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市场规模计算公式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TAM = 目标客户数 × 客单价（年）</w:t>
              <w:br/>
              <w:t>SAM = TAM × 目标场景占比</w:t>
              <w:br/>
            </w:r>
            <w:r>
              <w:rPr>
                <w:rFonts w:eastAsia="Consolas" w:ascii="Consolas" w:cs="Consolas" w:hAnsi="Consolas"/>
                <w:sz w:val="22"/>
              </w:rPr>
              <w:t>SOM = SAM × 目标市场份额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盈亏平衡计算公式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盈亏平衡点 = 固定成本 / (单价 - 单位可变成本)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ROI计算公式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ROI = (收入 - 成本) / 成本 × 100%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5.4 计算检查清单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是否明确了目标客户数量？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是否估算了客单价？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是否拆分了成本结构（固定+可变）？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是否计算了盈亏平衡点？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是否做了多场景（保守/正常/乐观）的测算？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总结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42.5亿元/年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12.75亿元/年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SOM（首年）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1500-4000万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首年目标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10套（150万收入）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盈亏平衡点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首年净利润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约97万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首年ROI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3年累计净利润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约870万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附录：关键数据来源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城商行/农商行数量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中国银保监会统计数据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中小银行IT预算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行业调研报告平均值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AI投入占比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行业趋势预估（5%）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定价策略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竞品分析和成本加成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训练提示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：拿到一个机会，试着用"TAM是多少？SAM是多少？SOM是多少？成本结构如何？盈亏平衡点在哪？ROI多少？"来计算。坚持练习，形成定量思维习惯。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7567">
    <w:lvl>
      <w:numFmt w:val="bullet"/>
      <w:suff w:val="space"/>
      <w:lvlText w:val="□"/>
    </w:lvl>
  </w:abstractNum>
  <w:abstractNum w:abstractNumId="637568">
    <w:lvl>
      <w:numFmt w:val="bullet"/>
      <w:suff w:val="space"/>
      <w:lvlText w:val="□"/>
    </w:lvl>
  </w:abstractNum>
  <w:abstractNum w:abstractNumId="637569">
    <w:lvl>
      <w:numFmt w:val="bullet"/>
      <w:suff w:val="space"/>
      <w:lvlText w:val="□"/>
    </w:lvl>
  </w:abstractNum>
  <w:abstractNum w:abstractNumId="637570">
    <w:lvl>
      <w:numFmt w:val="bullet"/>
      <w:suff w:val="space"/>
      <w:lvlText w:val="□"/>
    </w:lvl>
  </w:abstractNum>
  <w:abstractNum w:abstractNumId="637571">
    <w:lvl>
      <w:numFmt w:val="bullet"/>
      <w:suff w:val="space"/>
      <w:lvlText w:val="□"/>
    </w:lvl>
  </w:abstractNum>
  <w:num w:numId="1">
    <w:abstractNumId w:val="637567"/>
  </w:num>
  <w:num w:numId="2">
    <w:abstractNumId w:val="637568"/>
  </w:num>
  <w:num w:numId="3">
    <w:abstractNumId w:val="637569"/>
  </w:num>
  <w:num w:numId="4">
    <w:abstractNumId w:val="637570"/>
  </w:num>
  <w:num w:numId="5">
    <w:abstractNumId w:val="6375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2026-03-24T07:44:53Z</dcterms:created>
  <dc:creator>Apache POI</dc:creator>
</cp:coreProperties>
</file>