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CheersAI竞品调研报告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执行摘要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基于对Coze（字节跳动）和Cherry Studio两款核心竞品的深度调研，结合AI办公工具市场现状分析，我们识别出</w:t>
      </w:r>
      <w:r>
        <w:rPr>
          <w:rFonts w:eastAsia="等线" w:ascii="Arial" w:cs="Arial" w:hAnsi="Arial"/>
          <w:b w:val="true"/>
          <w:sz w:val="22"/>
        </w:rPr>
        <w:t>三个关键洞察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市场窗口期已至，但竞争格局正在快速固化</w:t>
      </w:r>
      <w:r>
        <w:rPr>
          <w:rFonts w:eastAsia="等线" w:ascii="Arial" w:cs="Arial" w:hAnsi="Arial"/>
          <w:sz w:val="22"/>
        </w:rPr>
        <w:t>：2025年中国AI办公市场规模达308-380亿元，年复合增长率超20%，但大厂（字节、阿里、腾讯）已通过生态整合形成壁垒，新进入者需在</w:t>
      </w:r>
      <w:r>
        <w:rPr>
          <w:rFonts w:eastAsia="等线" w:ascii="Arial" w:cs="Arial" w:hAnsi="Arial"/>
          <w:b w:val="true"/>
          <w:sz w:val="22"/>
        </w:rPr>
        <w:t>企业级安全合规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垂直场景深度</w:t>
      </w:r>
      <w:r>
        <w:rPr>
          <w:rFonts w:eastAsia="等线" w:ascii="Arial" w:cs="Arial" w:hAnsi="Arial"/>
          <w:sz w:val="22"/>
        </w:rPr>
        <w:t>上找到差异化突破点。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"三大核心痛点"真实存在，但市场解决方案存在明显断层</w:t>
      </w:r>
      <w:r>
        <w:rPr>
          <w:rFonts w:eastAsia="等线" w:ascii="Arial" w:cs="Arial" w:hAnsi="Arial"/>
          <w:sz w:val="22"/>
        </w:rPr>
        <w:t>：竞品在"零门槛"和"企业安全"之间存在</w:t>
      </w:r>
      <w:r>
        <w:rPr>
          <w:rFonts w:eastAsia="等线" w:ascii="Arial" w:cs="Arial" w:hAnsi="Arial"/>
          <w:b w:val="true"/>
          <w:sz w:val="22"/>
        </w:rPr>
        <w:t>非此即彼的取舍</w:t>
      </w:r>
      <w:r>
        <w:rPr>
          <w:rFonts w:eastAsia="等线" w:ascii="Arial" w:cs="Arial" w:hAnsi="Arial"/>
          <w:sz w:val="22"/>
        </w:rPr>
        <w:t>——Coze等平台易用但企业级安全能力有限，Cherry Studio支持本地部署但学习成本高。CheersAI的"安全普惠"定位正好填补这一市场空白。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企业级AI智能体正从"工具"向"数字员工"演进</w:t>
      </w:r>
      <w:r>
        <w:rPr>
          <w:rFonts w:eastAsia="等线" w:ascii="Arial" w:cs="Arial" w:hAnsi="Arial"/>
          <w:sz w:val="22"/>
        </w:rPr>
        <w:t>：仅17%企业实现AI规模化投产，60%企业选择自建而非采购，说明现有产品未能满足企业深度需求。CheersAI需构建</w:t>
      </w:r>
      <w:r>
        <w:rPr>
          <w:rFonts w:eastAsia="等线" w:ascii="Arial" w:cs="Arial" w:hAnsi="Arial"/>
          <w:b w:val="true"/>
          <w:sz w:val="22"/>
        </w:rPr>
        <w:t>可信智能体能力</w:t>
      </w:r>
      <w:r>
        <w:rPr>
          <w:rFonts w:eastAsia="等线" w:ascii="Arial" w:cs="Arial" w:hAnsi="Arial"/>
          <w:sz w:val="22"/>
        </w:rPr>
        <w:t>，而非简单的AI助手。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分析框架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本报告采用</w:t>
      </w:r>
      <w:r>
        <w:rPr>
          <w:rFonts w:eastAsia="等线" w:ascii="Arial" w:cs="Arial" w:hAnsi="Arial"/>
          <w:b w:val="true"/>
          <w:sz w:val="22"/>
        </w:rPr>
        <w:t>SCQA模型</w:t>
      </w:r>
      <w:r>
        <w:rPr>
          <w:rFonts w:eastAsia="等线" w:ascii="Arial" w:cs="Arial" w:hAnsi="Arial"/>
          <w:sz w:val="22"/>
        </w:rPr>
        <w:t>构建分析逻辑，结合</w:t>
      </w:r>
      <w:r>
        <w:rPr>
          <w:rFonts w:eastAsia="等线" w:ascii="Arial" w:cs="Arial" w:hAnsi="Arial"/>
          <w:b w:val="true"/>
          <w:sz w:val="22"/>
        </w:rPr>
        <w:t>STP市场细分理论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波特五力模型</w:t>
      </w:r>
      <w:r>
        <w:rPr>
          <w:rFonts w:eastAsia="等线" w:ascii="Arial" w:cs="Arial" w:hAnsi="Arial"/>
          <w:sz w:val="22"/>
        </w:rPr>
        <w:t>进行多维度竞品分析，并辅以</w:t>
      </w:r>
      <w:r>
        <w:rPr>
          <w:rFonts w:eastAsia="等线" w:ascii="Arial" w:cs="Arial" w:hAnsi="Arial"/>
          <w:b w:val="true"/>
          <w:sz w:val="22"/>
        </w:rPr>
        <w:t>黄金圈法则</w:t>
      </w:r>
      <w:r>
        <w:rPr>
          <w:rFonts w:eastAsia="等线" w:ascii="Arial" w:cs="Arial" w:hAnsi="Arial"/>
          <w:sz w:val="22"/>
        </w:rPr>
        <w:t>深入挖掘CheersAI的战略内核。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SCQA问题定义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情境（Situation）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办公工具市场进入高速增长期，2025年市场规模达308-380亿元，预计2026年将覆盖80%以上大中型企业。企业对AI的需求从"单点提效"转向"全流程智能代理"，能理解业务、调用系统、自主执行任务的企业级AI智能体成为关键基础设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冲突（Complication）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企业级AI应用面临</w:t>
      </w:r>
      <w:r>
        <w:rPr>
          <w:rFonts w:eastAsia="等线" w:ascii="Arial" w:cs="Arial" w:hAnsi="Arial"/>
          <w:b w:val="true"/>
          <w:sz w:val="22"/>
        </w:rPr>
        <w:t>三大核心矛盾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不会用 vs 想要用</w:t>
      </w:r>
      <w:r>
        <w:rPr>
          <w:rFonts w:eastAsia="等线" w:ascii="Arial" w:cs="Arial" w:hAnsi="Arial"/>
          <w:sz w:val="22"/>
        </w:rPr>
        <w:t>：77%企业已使用AI工具，但32%需同时操作7种以上产品，工具割裂与高昂部署成本成为主要障碍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不敢用 vs 降本增效压力</w:t>
      </w:r>
      <w:r>
        <w:rPr>
          <w:rFonts w:eastAsia="等线" w:ascii="Arial" w:cs="Arial" w:hAnsi="Arial"/>
          <w:sz w:val="22"/>
        </w:rPr>
        <w:t>：强合规行业（金融、医疗、政务）因数据安全顾虑不敢使用公有云AI，但面临40%-70%的运营成本压力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不好用 vs 专业需求</w:t>
      </w:r>
      <w:r>
        <w:rPr>
          <w:rFonts w:eastAsia="等线" w:ascii="Arial" w:cs="Arial" w:hAnsi="Arial"/>
          <w:sz w:val="22"/>
        </w:rPr>
        <w:t>：通用AI助手无法满足垂直领域专业需求（如56.4%高管认为缺乏行业垂直工具），而定制化私有部署技术门槛高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问题（Question）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在Coze、Cherry Studio等竞品已占据市场的背景下，</w:t>
      </w:r>
      <w:r>
        <w:rPr>
          <w:rFonts w:eastAsia="等线" w:ascii="Arial" w:cs="Arial" w:hAnsi="Arial"/>
          <w:b w:val="true"/>
          <w:sz w:val="22"/>
        </w:rPr>
        <w:t>CheersAI如何通过"安全普惠"定位切入企业级AI办公市场，构建可持续竞争优势？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答案（Answer）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CheersAI应</w:t>
      </w:r>
      <w:r>
        <w:rPr>
          <w:rFonts w:eastAsia="等线" w:ascii="Arial" w:cs="Arial" w:hAnsi="Arial"/>
          <w:b w:val="true"/>
          <w:sz w:val="22"/>
        </w:rPr>
        <w:t>聚焦"安全合规×零学习成本"的交叉点</w:t>
      </w:r>
      <w:r>
        <w:rPr>
          <w:rFonts w:eastAsia="等线" w:ascii="Arial" w:cs="Arial" w:hAnsi="Arial"/>
          <w:sz w:val="22"/>
        </w:rPr>
        <w:t>，针对金融、政务、医疗等强合规行业，打造"开箱即用+企业级安全"的AI工作伙伴，通过以下战略实现突围：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产品层</w:t>
      </w:r>
      <w:r>
        <w:rPr>
          <w:rFonts w:eastAsia="等线" w:ascii="Arial" w:cs="Arial" w:hAnsi="Arial"/>
          <w:sz w:val="22"/>
        </w:rPr>
        <w:t>：构建"零学习成本"交互界面 + "数据不出域"安全架构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市场层</w:t>
      </w:r>
      <w:r>
        <w:rPr>
          <w:rFonts w:eastAsia="等线" w:ascii="Arial" w:cs="Arial" w:hAnsi="Arial"/>
          <w:sz w:val="22"/>
        </w:rPr>
        <w:t>：采用STP战略，聚焦强合规行业的"中层管理者"细分市场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生态层</w:t>
      </w:r>
      <w:r>
        <w:rPr>
          <w:rFonts w:eastAsia="等线" w:ascii="Arial" w:cs="Arial" w:hAnsi="Arial"/>
          <w:sz w:val="22"/>
        </w:rPr>
        <w:t>：开放插件生态与API接口，实现与现有IT系统深度集成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竞品对比分析总表</w:t>
      </w:r>
      <w:bookmarkEnd w:id="7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深度维度分析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一、产品功能对比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1.1 核心能力矩阵</w:t>
      </w:r>
      <w:bookmarkEnd w:id="10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1.2 特色功能对比</w:t>
      </w:r>
      <w:bookmarkEnd w:id="11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二、安全与合规对比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2.1 数据安全能力对比</w:t>
      </w:r>
      <w:bookmarkEnd w:id="13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2.2 行业合规规则库对比</w:t>
      </w:r>
      <w:bookmarkEnd w:id="14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三、市场定位与用户画像对比（STP分析）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3.1 市场细分（Segmentation）</w:t>
      </w:r>
      <w:bookmarkEnd w:id="16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 目标市场选择（Targeting）</w:t>
      </w:r>
      <w:bookmarkEnd w:id="17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3.3 市场定位（Positioning）</w:t>
      </w:r>
      <w:bookmarkEnd w:id="18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四、商业模式对比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4.1 定价策略对比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4.2 收入结构对比</w:t>
      </w:r>
      <w:bookmarkEnd w:id="21"/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五、竞争优势与劣势分析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5.1 核心优势对比</w:t>
      </w:r>
      <w:bookmarkEnd w:id="23"/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5.2 核心劣势对比</w:t>
      </w:r>
      <w:bookmarkEnd w:id="24"/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六、用户需求痛点匹配度分析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6.1 CheersAI三大核心痛点 vs 竞品解决方案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6.2 用户场景需求匹配度</w:t>
      </w:r>
      <w:bookmarkEnd w:id="27"/>
    </w:p>
    <w:p>
      <w:pPr>
        <w:spacing w:before="120" w:after="120" w:line="288" w:lineRule="auto"/>
        <w:ind w:left="0"/>
      </w:pPr>
      <w:r>
        <w:object>
          <v:shape id="_x0000_i1038" style="width:414pt;height:197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七、战略建议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7.1 产品策略</w:t>
      </w:r>
      <w:bookmarkEnd w:id="29"/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34" o:title=""/>
          </v:shape>
          <o:OLEObject DrawAspect="Icon" ObjectID="_1718471233" ProgID="Excel.Sheet.12" ShapeID="_x0000_i1039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7.2 市场策略（STP落地）</w:t>
      </w:r>
      <w:bookmarkEnd w:id="30"/>
    </w:p>
    <w:p>
      <w:pPr>
        <w:spacing w:before="120" w:after="120" w:line="288" w:lineRule="auto"/>
        <w:ind w:left="0"/>
      </w:pPr>
      <w:r>
        <w:object>
          <v:shape id="_x0000_i1040" style="width:414pt;height:197pt;mso-width-percent:0;mso-height-percent:0;mso-width-percent:0;mso-height-percent:0" type="#_x0000_t75" o:ole="">
            <v:imagedata r:id="rId36" o:title=""/>
          </v:shape>
          <o:OLEObject DrawAspect="Icon" ObjectID="_1718471234" ProgID="Excel.Sheet.12" ShapeID="_x0000_i1040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7.3 定价策略</w:t>
      </w:r>
      <w:bookmarkEnd w:id="31"/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38" o:title=""/>
          </v:shape>
          <o:OLEObject DrawAspect="Icon" ObjectID="_1718471235" ProgID="Excel.Sheet.12" ShapeID="_x0000_i1041" Type="Embed" r:id="rId3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7.4 渠道策略</w:t>
      </w:r>
      <w:bookmarkEnd w:id="32"/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40" o:title=""/>
          </v:shape>
          <o:OLEObject DrawAspect="Icon" ObjectID="_1718471236" ProgID="Excel.Sheet.12" ShapeID="_x0000_i1042" Type="Embed" r:id="rId3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风险提示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技术风险</w:t>
      </w:r>
      <w:r>
        <w:rPr>
          <w:rFonts w:eastAsia="等线" w:ascii="Arial" w:cs="Arial" w:hAnsi="Arial"/>
          <w:sz w:val="22"/>
        </w:rPr>
        <w:t>：混合云架构技术复杂度高，需投入大量研发资源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市场风险</w:t>
      </w:r>
      <w:r>
        <w:rPr>
          <w:rFonts w:eastAsia="等线" w:ascii="Arial" w:cs="Arial" w:hAnsi="Arial"/>
          <w:sz w:val="22"/>
        </w:rPr>
        <w:t>：大厂（字节、阿里、腾讯）可能快速复制差异化功能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合规风险</w:t>
      </w:r>
      <w:r>
        <w:rPr>
          <w:rFonts w:eastAsia="等线" w:ascii="Arial" w:cs="Arial" w:hAnsi="Arial"/>
          <w:sz w:val="22"/>
        </w:rPr>
        <w:t>：行业法规变化可能影响产品合规性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人才风险</w:t>
      </w:r>
      <w:r>
        <w:rPr>
          <w:rFonts w:eastAsia="等线" w:ascii="Arial" w:cs="Arial" w:hAnsi="Arial"/>
          <w:sz w:val="22"/>
        </w:rPr>
        <w:t>：企业级AI人才稀缺，团队建设难度大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资金风险</w:t>
      </w:r>
      <w:r>
        <w:rPr>
          <w:rFonts w:eastAsia="等线" w:ascii="Arial" w:cs="Arial" w:hAnsi="Arial"/>
          <w:sz w:val="22"/>
        </w:rPr>
        <w:t>：企业客户销售周期长，现金流压力大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结语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CheersAI的"安全普惠"定位精准切中企业级AI办公市场的</w:t>
      </w:r>
      <w:r>
        <w:rPr>
          <w:rFonts w:eastAsia="等线" w:ascii="Arial" w:cs="Arial" w:hAnsi="Arial"/>
          <w:b w:val="true"/>
          <w:sz w:val="22"/>
        </w:rPr>
        <w:t>核心矛盾</w:t>
      </w:r>
      <w:r>
        <w:rPr>
          <w:rFonts w:eastAsia="等线" w:ascii="Arial" w:cs="Arial" w:hAnsi="Arial"/>
          <w:sz w:val="22"/>
        </w:rPr>
        <w:t>——在"零门槛"和"企业安全"之间找到平衡点。通过聚焦强合规行业（金融/政务/医疗），打造"开箱即用+企业级安全"的AI工作伙伴，CheersAI有望在这一细分市场中构建可持续竞争优势。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关键成功因素：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产品落地</w:t>
      </w:r>
      <w:r>
        <w:rPr>
          <w:rFonts w:eastAsia="等线" w:ascii="Arial" w:cs="Arial" w:hAnsi="Arial"/>
          <w:sz w:val="22"/>
        </w:rPr>
        <w:t>：快速打造MVP，验证"安全合规×零门槛"的价值主张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</w:t>
      </w:r>
      <w:r>
        <w:rPr>
          <w:rFonts w:eastAsia="等线" w:ascii="Arial" w:cs="Arial" w:hAnsi="Arial"/>
          <w:sz w:val="22"/>
        </w:rPr>
        <w:t>：在金融行业打造1-2个标杆案例，建立行业信任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生态建设</w:t>
      </w:r>
      <w:r>
        <w:rPr>
          <w:rFonts w:eastAsia="等线" w:ascii="Arial" w:cs="Arial" w:hAnsi="Arial"/>
          <w:sz w:val="22"/>
        </w:rPr>
        <w:t>：开放API，构建合作伙伴网络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团队建设</w:t>
      </w:r>
      <w:r>
        <w:rPr>
          <w:rFonts w:eastAsia="等线" w:ascii="Arial" w:cs="Arial" w:hAnsi="Arial"/>
          <w:sz w:val="22"/>
        </w:rPr>
        <w:t>：吸引企业级AI人才，构建产品+销售+服务的完整团队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未来12个月是关键窗口期，需快速迭代、抢占市场，才能在AI办公工具的黄金发展期中占据一席之地。</w:t>
      </w:r>
    </w:p>
    <w:sectPr>
      <w:footerReference w:type="default" r:id="rId3"/>
      <w:headerReference w:type="default" r:id="rId4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4250">
    <w:lvl>
      <w:start w:val="1"/>
      <w:numFmt w:val="decimal"/>
      <w:suff w:val="tab"/>
      <w:lvlText w:val="%1."/>
      <w:rPr>
        <w:color w:val="3370ff"/>
      </w:rPr>
    </w:lvl>
  </w:abstractNum>
  <w:abstractNum w:abstractNumId="914251">
    <w:lvl>
      <w:start w:val="2"/>
      <w:numFmt w:val="decimal"/>
      <w:suff w:val="tab"/>
      <w:lvlText w:val="%1."/>
      <w:rPr>
        <w:color w:val="3370ff"/>
      </w:rPr>
    </w:lvl>
  </w:abstractNum>
  <w:abstractNum w:abstractNumId="914252">
    <w:lvl>
      <w:start w:val="3"/>
      <w:numFmt w:val="decimal"/>
      <w:suff w:val="tab"/>
      <w:lvlText w:val="%1."/>
      <w:rPr>
        <w:color w:val="3370ff"/>
      </w:rPr>
    </w:lvl>
  </w:abstractNum>
  <w:abstractNum w:abstractNumId="914253">
    <w:lvl>
      <w:numFmt w:val="bullet"/>
      <w:suff w:val="tab"/>
      <w:lvlText w:val="•"/>
      <w:rPr>
        <w:color w:val="3370ff"/>
      </w:rPr>
    </w:lvl>
  </w:abstractNum>
  <w:abstractNum w:abstractNumId="914254">
    <w:lvl>
      <w:numFmt w:val="bullet"/>
      <w:suff w:val="tab"/>
      <w:lvlText w:val="•"/>
      <w:rPr>
        <w:color w:val="3370ff"/>
      </w:rPr>
    </w:lvl>
  </w:abstractNum>
  <w:abstractNum w:abstractNumId="914255">
    <w:lvl>
      <w:numFmt w:val="bullet"/>
      <w:suff w:val="tab"/>
      <w:lvlText w:val="•"/>
      <w:rPr>
        <w:color w:val="3370ff"/>
      </w:rPr>
    </w:lvl>
  </w:abstractNum>
  <w:abstractNum w:abstractNumId="914256">
    <w:lvl>
      <w:start w:val="1"/>
      <w:numFmt w:val="decimal"/>
      <w:suff w:val="tab"/>
      <w:lvlText w:val="%1."/>
      <w:rPr>
        <w:color w:val="3370ff"/>
      </w:rPr>
    </w:lvl>
  </w:abstractNum>
  <w:abstractNum w:abstractNumId="914257">
    <w:lvl>
      <w:start w:val="2"/>
      <w:numFmt w:val="decimal"/>
      <w:suff w:val="tab"/>
      <w:lvlText w:val="%1."/>
      <w:rPr>
        <w:color w:val="3370ff"/>
      </w:rPr>
    </w:lvl>
  </w:abstractNum>
  <w:abstractNum w:abstractNumId="914258">
    <w:lvl>
      <w:start w:val="3"/>
      <w:numFmt w:val="decimal"/>
      <w:suff w:val="tab"/>
      <w:lvlText w:val="%1."/>
      <w:rPr>
        <w:color w:val="3370ff"/>
      </w:rPr>
    </w:lvl>
  </w:abstractNum>
  <w:abstractNum w:abstractNumId="914259">
    <w:lvl>
      <w:start w:val="1"/>
      <w:numFmt w:val="decimal"/>
      <w:suff w:val="tab"/>
      <w:lvlText w:val="%1."/>
      <w:rPr>
        <w:color w:val="3370ff"/>
      </w:rPr>
    </w:lvl>
  </w:abstractNum>
  <w:abstractNum w:abstractNumId="914260">
    <w:lvl>
      <w:start w:val="2"/>
      <w:numFmt w:val="decimal"/>
      <w:suff w:val="tab"/>
      <w:lvlText w:val="%1."/>
      <w:rPr>
        <w:color w:val="3370ff"/>
      </w:rPr>
    </w:lvl>
  </w:abstractNum>
  <w:abstractNum w:abstractNumId="914261">
    <w:lvl>
      <w:start w:val="3"/>
      <w:numFmt w:val="decimal"/>
      <w:suff w:val="tab"/>
      <w:lvlText w:val="%1."/>
      <w:rPr>
        <w:color w:val="3370ff"/>
      </w:rPr>
    </w:lvl>
  </w:abstractNum>
  <w:abstractNum w:abstractNumId="914262">
    <w:lvl>
      <w:start w:val="4"/>
      <w:numFmt w:val="decimal"/>
      <w:suff w:val="tab"/>
      <w:lvlText w:val="%1."/>
      <w:rPr>
        <w:color w:val="3370ff"/>
      </w:rPr>
    </w:lvl>
  </w:abstractNum>
  <w:abstractNum w:abstractNumId="914263">
    <w:lvl>
      <w:start w:val="5"/>
      <w:numFmt w:val="decimal"/>
      <w:suff w:val="tab"/>
      <w:lvlText w:val="%1."/>
      <w:rPr>
        <w:color w:val="3370ff"/>
      </w:rPr>
    </w:lvl>
  </w:abstractNum>
  <w:abstractNum w:abstractNumId="914264">
    <w:lvl>
      <w:start w:val="1"/>
      <w:numFmt w:val="decimal"/>
      <w:suff w:val="tab"/>
      <w:lvlText w:val="%1."/>
      <w:rPr>
        <w:color w:val="3370ff"/>
      </w:rPr>
    </w:lvl>
  </w:abstractNum>
  <w:abstractNum w:abstractNumId="914265">
    <w:lvl>
      <w:start w:val="2"/>
      <w:numFmt w:val="decimal"/>
      <w:suff w:val="tab"/>
      <w:lvlText w:val="%1."/>
      <w:rPr>
        <w:color w:val="3370ff"/>
      </w:rPr>
    </w:lvl>
  </w:abstractNum>
  <w:abstractNum w:abstractNumId="914266">
    <w:lvl>
      <w:start w:val="3"/>
      <w:numFmt w:val="decimal"/>
      <w:suff w:val="tab"/>
      <w:lvlText w:val="%1."/>
      <w:rPr>
        <w:color w:val="3370ff"/>
      </w:rPr>
    </w:lvl>
  </w:abstractNum>
  <w:abstractNum w:abstractNumId="91426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914250"/>
  </w:num>
  <w:num w:numId="2">
    <w:abstractNumId w:val="914251"/>
  </w:num>
  <w:num w:numId="3">
    <w:abstractNumId w:val="914252"/>
  </w:num>
  <w:num w:numId="4">
    <w:abstractNumId w:val="914253"/>
  </w:num>
  <w:num w:numId="5">
    <w:abstractNumId w:val="914254"/>
  </w:num>
  <w:num w:numId="6">
    <w:abstractNumId w:val="914255"/>
  </w:num>
  <w:num w:numId="7">
    <w:abstractNumId w:val="914256"/>
  </w:num>
  <w:num w:numId="8">
    <w:abstractNumId w:val="914257"/>
  </w:num>
  <w:num w:numId="9">
    <w:abstractNumId w:val="914258"/>
  </w:num>
  <w:num w:numId="10">
    <w:abstractNumId w:val="914259"/>
  </w:num>
  <w:num w:numId="11">
    <w:abstractNumId w:val="914260"/>
  </w:num>
  <w:num w:numId="12">
    <w:abstractNumId w:val="914261"/>
  </w:num>
  <w:num w:numId="13">
    <w:abstractNumId w:val="914262"/>
  </w:num>
  <w:num w:numId="14">
    <w:abstractNumId w:val="914263"/>
  </w:num>
  <w:num w:numId="15">
    <w:abstractNumId w:val="914264"/>
  </w:num>
  <w:num w:numId="16">
    <w:abstractNumId w:val="914265"/>
  </w:num>
  <w:num w:numId="17">
    <w:abstractNumId w:val="914266"/>
  </w:num>
  <w:num w:numId="18">
    <w:abstractNumId w:val="9142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4.xlsx" Type="http://schemas.openxmlformats.org/officeDocument/2006/relationships/package"/><Relationship Id="rId32" Target="media/image14.png" Type="http://schemas.openxmlformats.org/officeDocument/2006/relationships/image"/><Relationship Id="rId33" Target="embeddings/Microsoft_Excel_Worksheet15.xlsx" Type="http://schemas.openxmlformats.org/officeDocument/2006/relationships/package"/><Relationship Id="rId34" Target="media/image15.png" Type="http://schemas.openxmlformats.org/officeDocument/2006/relationships/image"/><Relationship Id="rId35" Target="embeddings/Microsoft_Excel_Worksheet16.xlsx" Type="http://schemas.openxmlformats.org/officeDocument/2006/relationships/package"/><Relationship Id="rId36" Target="media/image16.png" Type="http://schemas.openxmlformats.org/officeDocument/2006/relationships/image"/><Relationship Id="rId37" Target="embeddings/Microsoft_Excel_Worksheet17.xlsx" Type="http://schemas.openxmlformats.org/officeDocument/2006/relationships/package"/><Relationship Id="rId38" Target="media/image17.png" Type="http://schemas.openxmlformats.org/officeDocument/2006/relationships/image"/><Relationship Id="rId39" Target="embeddings/Microsoft_Excel_Worksheet18.xlsx" Type="http://schemas.openxmlformats.org/officeDocument/2006/relationships/package"/><Relationship Id="rId4" Target="numbering.xml" Type="http://schemas.openxmlformats.org/officeDocument/2006/relationships/numbering"/><Relationship Id="rId40" Target="media/image18.png" Type="http://schemas.openxmlformats.org/officeDocument/2006/relationships/image"/><Relationship Id="rId41" Target="header1.xml" Type="http://schemas.openxmlformats.org/officeDocument/2006/relationships/header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2026-03-24T07:41:38Z</dcterms:created>
  <dc:creator>Apache POI</dc:creator>
</cp:coreProperties>
</file>