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CheersAI 可服务市场（TAM / SAM / SOM）估算模型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前提说明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聚焦高合规、高安全行业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同时覆盖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企业客户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+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个人专业用户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以中国市场为主，兼顾全球天花板判断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1️⃣ 目标行业与客户类型拆分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（1）企业客户（B 端）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3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（2）个人专业用户（C 端）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163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2️⃣ 定价假设（与你前面设计一致）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企业版（私有化 / SaaS + 客户端）</w:t>
      </w:r>
      <w:bookmarkEnd w:id="4"/>
    </w:p>
    <w:p>
      <w:pPr>
        <w:spacing w:before="120" w:after="120" w:line="288" w:lineRule="auto"/>
        <w:ind w:left="0"/>
      </w:pPr>
      <w:r>
        <w:object>
          <v:shape id="_x0000_i1027" style="width:414pt;height:163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>测算用平均值：15 万 / 年 / 企业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个人版（纯 CS + 社区）</w:t>
      </w:r>
      <w:bookmarkEnd w:id="5"/>
    </w:p>
    <w:p>
      <w:pPr>
        <w:spacing w:before="120" w:after="120" w:line="288" w:lineRule="auto"/>
        <w:ind w:left="0"/>
      </w:pPr>
      <w:r>
        <w:object>
          <v:shape id="_x0000_i1028" style="width:414pt;height:163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3️⃣ TAM / SAM / SOM 计算表（核心）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企业端市场</w:t>
      </w:r>
      <w:bookmarkEnd w:id="7"/>
    </w:p>
    <w:p>
      <w:pPr>
        <w:spacing w:before="120" w:after="120" w:line="288" w:lineRule="auto"/>
        <w:ind w:left="0"/>
      </w:pPr>
      <w:r>
        <w:object>
          <v:shape id="_x0000_i1029" style="width:414pt;height:163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个人端市场</w:t>
      </w:r>
      <w:bookmarkEnd w:id="8"/>
    </w:p>
    <w:p>
      <w:pPr>
        <w:spacing w:before="120" w:after="120" w:line="288" w:lineRule="auto"/>
        <w:ind w:left="0"/>
      </w:pPr>
      <w:r>
        <w:object>
          <v:shape id="_x0000_i1030" style="width:414pt;height:163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🔥 合并天花板判断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CheersAI 长期商业天花板（中国）≈ 350–400 亿 / 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（不含海外）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3 年期商业化里程碑 &amp; 收益测算</w:t>
      </w:r>
      <w:bookmarkEnd w:id="1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 1 年：Demo → MVP → 行业验证</w:t>
      </w:r>
      <w:bookmarkEnd w:id="11"/>
    </w:p>
    <w:p>
      <w:pPr>
        <w:spacing w:before="120" w:after="120" w:line="288" w:lineRule="auto"/>
        <w:ind w:left="0"/>
      </w:pPr>
      <w:r>
        <w:object>
          <v:shape id="_x0000_i1031" style="width:414pt;height:163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成本估算（第 1 年）</w:t>
      </w:r>
      <w:bookmarkEnd w:id="12"/>
    </w:p>
    <w:p>
      <w:pPr>
        <w:spacing w:before="120" w:after="120" w:line="288" w:lineRule="auto"/>
        <w:ind w:left="0"/>
      </w:pPr>
      <w:r>
        <w:object>
          <v:shape id="_x0000_i1032" style="width:414pt;height:163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➡️ </w:t>
      </w:r>
      <w:r>
        <w:rPr>
          <w:rFonts w:eastAsia="等线" w:ascii="Arial" w:cs="Arial" w:hAnsi="Arial"/>
          <w:b w:val="true"/>
          <w:sz w:val="22"/>
        </w:rPr>
        <w:t>盈亏情况：接近打平 / 小幅盈利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 2 年：行业复制 + 模板化销售</w:t>
      </w:r>
      <w:bookmarkEnd w:id="13"/>
    </w:p>
    <w:p>
      <w:pPr>
        <w:spacing w:before="120" w:after="120" w:line="288" w:lineRule="auto"/>
        <w:ind w:left="0"/>
      </w:pPr>
      <w:r>
        <w:object>
          <v:shape id="_x0000_i1033" style="width:414pt;height:163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成本 | ≈4,000 万 |</w:t>
        <w:br/>
      </w:r>
      <w:r>
        <w:rPr>
          <w:rFonts w:eastAsia="等线" w:ascii="Arial" w:cs="Arial" w:hAnsi="Arial"/>
          <w:sz w:val="22"/>
        </w:rPr>
        <w:t xml:space="preserve">| 净利润 | </w:t>
      </w:r>
      <w:r>
        <w:rPr>
          <w:rFonts w:eastAsia="等线" w:ascii="Arial" w:cs="Arial" w:hAnsi="Arial"/>
          <w:b w:val="true"/>
          <w:sz w:val="22"/>
        </w:rPr>
        <w:t>≈3,500 万</w:t>
      </w:r>
      <w:r>
        <w:rPr>
          <w:rFonts w:eastAsia="等线" w:ascii="Arial" w:cs="Arial" w:hAnsi="Arial"/>
          <w:sz w:val="22"/>
        </w:rPr>
        <w:t xml:space="preserve"> |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 3 年：规模化 &amp; 平台化</w:t>
      </w:r>
      <w:bookmarkEnd w:id="14"/>
    </w:p>
    <w:p>
      <w:pPr>
        <w:spacing w:before="120" w:after="120" w:line="288" w:lineRule="auto"/>
        <w:ind w:left="0"/>
      </w:pPr>
      <w:r>
        <w:object>
          <v:shape id="_x0000_i1034" style="width:414pt;height:163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成本 | ≈1.2 亿 |</w:t>
        <w:br/>
      </w:r>
      <w:r>
        <w:rPr>
          <w:rFonts w:eastAsia="等线" w:ascii="Arial" w:cs="Arial" w:hAnsi="Arial"/>
          <w:sz w:val="22"/>
        </w:rPr>
        <w:t xml:space="preserve">| 净利润 | </w:t>
      </w:r>
      <w:r>
        <w:rPr>
          <w:rFonts w:eastAsia="等线" w:ascii="Arial" w:cs="Arial" w:hAnsi="Arial"/>
          <w:b w:val="true"/>
          <w:sz w:val="22"/>
        </w:rPr>
        <w:t>≈1.5 亿</w:t>
      </w:r>
      <w:r>
        <w:rPr>
          <w:rFonts w:eastAsia="等线" w:ascii="Arial" w:cs="Arial" w:hAnsi="Arial"/>
          <w:sz w:val="22"/>
        </w:rPr>
        <w:t xml:space="preserve"> |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给「投资人秒懂版总结」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CheersAI 不是做 AI 工具，而是在解决一个问题：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在高合规行业里，如何安全地用上全世界最先进的 AI 能力。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市场真实、刚需、长期存在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客户付费能力强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技术路线可控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商业模型健康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1431">
    <w:lvl>
      <w:numFmt w:val="bullet"/>
      <w:suff w:val="tab"/>
      <w:lvlText w:val="•"/>
      <w:rPr>
        <w:color w:val="3370ff"/>
      </w:rPr>
    </w:lvl>
  </w:abstractNum>
  <w:abstractNum w:abstractNumId="171432">
    <w:lvl>
      <w:numFmt w:val="bullet"/>
      <w:suff w:val="tab"/>
      <w:lvlText w:val="•"/>
      <w:rPr>
        <w:color w:val="3370ff"/>
      </w:rPr>
    </w:lvl>
  </w:abstractNum>
  <w:abstractNum w:abstractNumId="171433">
    <w:lvl>
      <w:numFmt w:val="bullet"/>
      <w:suff w:val="tab"/>
      <w:lvlText w:val="•"/>
      <w:rPr>
        <w:color w:val="3370ff"/>
      </w:rPr>
    </w:lvl>
  </w:abstractNum>
  <w:abstractNum w:abstractNumId="171434">
    <w:lvl>
      <w:numFmt w:val="bullet"/>
      <w:suff w:val="tab"/>
      <w:lvlText w:val="•"/>
      <w:rPr>
        <w:color w:val="3370ff"/>
      </w:rPr>
    </w:lvl>
  </w:abstractNum>
  <w:abstractNum w:abstractNumId="171435">
    <w:lvl>
      <w:numFmt w:val="bullet"/>
      <w:suff w:val="tab"/>
      <w:lvlText w:val="•"/>
      <w:rPr>
        <w:color w:val="3370ff"/>
      </w:rPr>
    </w:lvl>
  </w:abstractNum>
  <w:abstractNum w:abstractNumId="171436">
    <w:lvl>
      <w:numFmt w:val="bullet"/>
      <w:suff w:val="tab"/>
      <w:lvlText w:val="•"/>
      <w:rPr>
        <w:color w:val="3370ff"/>
      </w:rPr>
    </w:lvl>
  </w:abstractNum>
  <w:abstractNum w:abstractNumId="171437">
    <w:lvl>
      <w:numFmt w:val="bullet"/>
      <w:suff w:val="tab"/>
      <w:lvlText w:val="•"/>
      <w:rPr>
        <w:color w:val="3370ff"/>
      </w:rPr>
    </w:lvl>
  </w:abstractNum>
  <w:num w:numId="1">
    <w:abstractNumId w:val="171431"/>
  </w:num>
  <w:num w:numId="2">
    <w:abstractNumId w:val="171432"/>
  </w:num>
  <w:num w:numId="3">
    <w:abstractNumId w:val="171433"/>
  </w:num>
  <w:num w:numId="4">
    <w:abstractNumId w:val="171434"/>
  </w:num>
  <w:num w:numId="5">
    <w:abstractNumId w:val="171435"/>
  </w:num>
  <w:num w:numId="6">
    <w:abstractNumId w:val="171436"/>
  </w:num>
  <w:num w:numId="7">
    <w:abstractNumId w:val="1714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2026-03-24T07:44:39Z</dcterms:created>
  <dc:creator>Apache POI</dc:creator>
</cp:coreProperties>
</file>