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CheersAI 国内市场 TAM &amp; 财务与成本估算模型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TAM</w:t>
            </w:r>
            <w:r>
              <w:rPr>
                <w:rFonts w:eastAsia="等线" w:ascii="Arial" w:cs="Arial" w:hAnsi="Arial"/>
                <w:color w:val="646a73"/>
                <w:sz w:val="22"/>
              </w:rPr>
              <w:t>是技术接受模型(Technology Acceptance Model)的缩写，该模型由Davis基于理性行为理论(TRA)提出，用于研究个人对信息系统的接受和采纳行为。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在文档中出现的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表示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百万（¥1,000,000）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若出现则表示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十亿（¥1,000,000,000）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单位均为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人民币（¥），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例如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¥600M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=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600 百万 = 6 亿人民币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📌 一、市场规模与行业背景（TAM）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1）中国 SaaS 与 AI 软件市场规模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中国 SaaS 市场强劲增长：预计 2025 年中国软件即服务（SaaS）市场规模将保持持续增长态势。市场在 2024 年约 </w:t>
      </w:r>
      <w:r>
        <w:rPr>
          <w:rFonts w:eastAsia="等线" w:ascii="Arial" w:cs="Arial" w:hAnsi="Arial"/>
          <w:b w:val="true"/>
          <w:sz w:val="22"/>
        </w:rPr>
        <w:t>USD 25.86 亿</w:t>
      </w:r>
      <w:r>
        <w:rPr>
          <w:rFonts w:eastAsia="等线" w:ascii="Arial" w:cs="Arial" w:hAnsi="Arial"/>
          <w:sz w:val="22"/>
        </w:rPr>
        <w:t>（约 ¥180 亿），未来至 2030 年将增长至 USD 63.22 亿（约 ¥440 亿）左右（CAGR ~15.3%）。(</w:t>
      </w:r>
      <w:hyperlink r:id="rId5">
        <w:r>
          <w:rPr>
            <w:rFonts w:eastAsia="等线" w:ascii="Arial" w:cs="Arial" w:hAnsi="Arial"/>
            <w:color w:val="3370ff"/>
            <w:sz w:val="22"/>
          </w:rPr>
          <w:t>Grand View Research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 AI 软件市场规模预计在 2025 年将</w:t>
      </w:r>
      <w:r>
        <w:rPr>
          <w:rFonts w:eastAsia="等线" w:ascii="Arial" w:cs="Arial" w:hAnsi="Arial"/>
          <w:b w:val="true"/>
          <w:sz w:val="22"/>
        </w:rPr>
        <w:t>突破 ¥500 亿元</w:t>
      </w:r>
      <w:r>
        <w:rPr>
          <w:rFonts w:eastAsia="等线" w:ascii="Arial" w:cs="Arial" w:hAnsi="Arial"/>
          <w:sz w:val="22"/>
        </w:rPr>
        <w:t>。(</w:t>
      </w:r>
      <w:hyperlink r:id="rId6">
        <w:r>
          <w:rPr>
            <w:rFonts w:eastAsia="等线" w:ascii="Arial" w:cs="Arial" w:hAnsi="Arial"/>
            <w:color w:val="3370ff"/>
            <w:sz w:val="22"/>
          </w:rPr>
          <w:t>Sina Finance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数据安全行业市场在 2025 年预计规模将超过 </w:t>
      </w:r>
      <w:r>
        <w:rPr>
          <w:rFonts w:eastAsia="等线" w:ascii="Arial" w:cs="Arial" w:hAnsi="Arial"/>
          <w:b w:val="true"/>
          <w:sz w:val="22"/>
        </w:rPr>
        <w:t>¥62 亿元</w:t>
      </w:r>
      <w:r>
        <w:rPr>
          <w:rFonts w:eastAsia="等线" w:ascii="Arial" w:cs="Arial" w:hAnsi="Arial"/>
          <w:sz w:val="22"/>
        </w:rPr>
        <w:t>，其中政府、金融、医疗等需求增长明显。(</w:t>
      </w:r>
      <w:hyperlink r:id="rId7">
        <w:r>
          <w:rPr>
            <w:rFonts w:eastAsia="等线" w:ascii="Arial" w:cs="Arial" w:hAnsi="Arial"/>
            <w:color w:val="3370ff"/>
            <w:sz w:val="22"/>
          </w:rPr>
          <w:t>Shijiazhuang Data Bureau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</w:t>
      </w:r>
      <w:r>
        <w:rPr>
          <w:rFonts w:eastAsia="等线" w:ascii="Arial" w:cs="Arial" w:hAnsi="Arial"/>
          <w:b w:val="true"/>
          <w:sz w:val="22"/>
        </w:rPr>
        <w:t>中国企业级 AI/SaaS + 数据安全市场整体体量在 2025 年级别为数百亿人民币以上，具备坚实土壤支撑 CheersAI 产品定位。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2）行业细分可服务市场（TAM）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我们聚焦 8 大强需求行业（金融、医疗、政务、司法、公安、律所、咨询/会计/审计、能源/通信等）：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：政务与公安等机构数量在政府体系中庞大，但真正需要对接信息化 AI 业务的部门（编制内领导/中层）才是核心客户。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 TAM（企业端）综合估算约 </w:t>
      </w:r>
      <w:r>
        <w:rPr>
          <w:rFonts w:eastAsia="等线" w:ascii="Arial" w:cs="Arial" w:hAnsi="Arial"/>
          <w:b w:val="true"/>
          <w:sz w:val="22"/>
        </w:rPr>
        <w:t>750,000 家法人机构级别规模量级</w:t>
      </w:r>
      <w:r>
        <w:rPr>
          <w:rFonts w:eastAsia="等线" w:ascii="Arial" w:cs="Arial" w:hAnsi="Arial"/>
          <w:sz w:val="22"/>
        </w:rPr>
        <w:t>（合理筛选过）.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📌 二、目标用户数量估算（企业 vs 个人）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1）企业用户（TAM）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82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这是我们认为“具有AI智能办公潜在付费价值，需长期建立信息化策略的单位总和”。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2）个人用户（专业从业者）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保守估算行业从业人员（可作为个人版目标人群）：</w:t>
      </w:r>
    </w:p>
    <w:p>
      <w:pPr>
        <w:spacing w:before="120" w:after="120" w:line="288" w:lineRule="auto"/>
        <w:ind w:left="0"/>
      </w:pPr>
      <w:r>
        <w:object>
          <v:shape id="_x0000_i1027" style="width:414pt;height:166pt;mso-width-percent:0;mso-height-percent:0;mso-width-percent:0;mso-height-percent:0" type="#_x0000_t75" o:ole="">
            <v:imagedata r:id="rId13" o:title=""/>
          </v:shape>
          <o:OLEObject DrawAspect="Icon" ObjectID="_1718471221" ProgID="Excel.Sheet.12" ShapeID="_x0000_i1027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📌 四、可转化客户（按 Adoption Rate 假设）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我们假定企业与个人客户渗透率如下（中国企业级软件典型渗透率参考中国 SaaS 市场发展速度）：</w:t>
      </w:r>
    </w:p>
    <w:p>
      <w:pPr>
        <w:spacing w:before="120" w:after="120" w:line="288" w:lineRule="auto"/>
        <w:ind w:left="0"/>
      </w:pPr>
      <w:r>
        <w:object>
          <v:shape id="_x0000_i1028" style="width:414pt;height:58pt;mso-width-percent:0;mso-height-percent:0;mso-width-percent:0;mso-height-percent:0" type="#_x0000_t75" o:ole="">
            <v:imagedata r:id="rId15" o:title=""/>
          </v:shape>
          <o:OLEObject DrawAspect="Icon" ObjectID="_1718471222" ProgID="Excel.Sheet.12" ShapeID="_x0000_i1028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中性场景可转化量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企业付费客户 = </w:t>
      </w:r>
      <w:r>
        <w:rPr>
          <w:rFonts w:eastAsia="等线" w:ascii="Arial" w:cs="Arial" w:hAnsi="Arial"/>
          <w:b w:val="true"/>
          <w:sz w:val="22"/>
        </w:rPr>
        <w:t>364,500 × 0.5% ≈ 1,823 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个人付费用户 = </w:t>
      </w:r>
      <w:r>
        <w:rPr>
          <w:rFonts w:eastAsia="等线" w:ascii="Arial" w:cs="Arial" w:hAnsi="Arial"/>
          <w:b w:val="true"/>
          <w:sz w:val="22"/>
        </w:rPr>
        <w:t>3,750 万 × 1.5% ≈ 562,500 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📌 五、商业模式与收益模型（财务重计算）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定价模型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企业版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SaaS 订阅：¥120,000 / 年 / 客户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私有化部署：¥1,000,000 / 部署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私有化维保：15% × 部署费 = </w:t>
      </w:r>
      <w:r>
        <w:rPr>
          <w:rFonts w:eastAsia="等线" w:ascii="Arial" w:cs="Arial" w:hAnsi="Arial"/>
          <w:b w:val="true"/>
          <w:sz w:val="22"/>
        </w:rPr>
        <w:t>¥150,000 / 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升级/定制、行业模板增值另计（按单独计费）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个人版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两种收费模式：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年度一次性付费</w:t>
      </w:r>
      <w:r>
        <w:rPr>
          <w:rFonts w:eastAsia="等线" w:ascii="Arial" w:cs="Arial" w:hAnsi="Arial"/>
          <w:sz w:val="22"/>
        </w:rPr>
        <w:t>（功能全开）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¥500 / 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 + 按 Token 使用计费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预付费按消耗量计费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官方 token 成本 × 1.3 收费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 token 计费机制适合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轻量阶段与新用户体验使用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，后续转化年度付费。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收入模型（中性场景）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企业 SaaS 年收入</w:t>
      </w:r>
      <w:bookmarkEnd w:id="1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年付费企业数：1,823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年 SaaS 收入 = 1,823 × ¥120,000 ≈ </w:t>
      </w:r>
      <w:r>
        <w:rPr>
          <w:rFonts w:eastAsia="等线" w:ascii="Arial" w:cs="Arial" w:hAnsi="Arial"/>
          <w:b w:val="true"/>
          <w:sz w:val="22"/>
        </w:rPr>
        <w:t>¥218,760,000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私有化部署收入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年新增私有化部署假定：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1：50 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2：100 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3：150 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私有化部署收入 = 套数 × ¥1,000,000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私有化维保收入（年度）</w:t>
      </w:r>
      <w:bookmarkEnd w:id="1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持续维保 = 部署数量 × ¥150,000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个人版收入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一次性年度用户（¥500）</w:t>
      </w:r>
      <w:bookmarkEnd w:id="1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Year 1：50,000 × 500 = </w:t>
      </w:r>
      <w:r>
        <w:rPr>
          <w:rFonts w:eastAsia="等线" w:ascii="Arial" w:cs="Arial" w:hAnsi="Arial"/>
          <w:b w:val="true"/>
          <w:sz w:val="22"/>
        </w:rPr>
        <w:t>¥25,000,000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Year 2：150,000 × 500 = </w:t>
      </w:r>
      <w:r>
        <w:rPr>
          <w:rFonts w:eastAsia="等线" w:ascii="Arial" w:cs="Arial" w:hAnsi="Arial"/>
          <w:b w:val="true"/>
          <w:sz w:val="22"/>
        </w:rPr>
        <w:t>¥75,000,000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Year 3：300,000 × 500 = </w:t>
      </w:r>
      <w:r>
        <w:rPr>
          <w:rFonts w:eastAsia="等线" w:ascii="Arial" w:cs="Arial" w:hAnsi="Arial"/>
          <w:b w:val="true"/>
          <w:sz w:val="22"/>
        </w:rPr>
        <w:t>¥150,000,000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Token 计费收入（估算）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 token 计费群体占个人付费总数 50%，中性用户消费平均每年 ¥300：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1：50,000 × 300 = ¥15,000,000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2：150,000 × 300 = ¥45,000,000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Year 3：300,000 × 300 = ¥90,000,000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合计个人收入 = 年付费 + token 计费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汇总年度营收预测（中性场景）</w:t>
      </w:r>
      <w:bookmarkEnd w:id="19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7" o:title=""/>
          </v:shape>
          <o:OLEObject DrawAspect="Icon" ObjectID="_1718471223" ProgID="Excel.Sheet.12" ShapeID="_x0000_i1029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📌 六、云服务资源成本调研估算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国产云市场增长迅速，2025 Cloud AI 系统需求不断增长（NLP/生成式 AI 与混合态部署）：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中国云 AI 市场规模预计显著增长（中国 Cloud AI 市场 2025 约 USD 20.1 亿 ≈ ¥140 亿规模）(</w:t>
      </w:r>
      <w:hyperlink r:id="rId18">
        <w:r>
          <w:rPr>
            <w:rFonts w:eastAsia="等线" w:ascii="Arial" w:cs="Arial" w:hAnsi="Arial"/>
            <w:color w:val="3370ff"/>
            <w:sz w:val="22"/>
          </w:rPr>
          <w:t>Market Research Future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SaaS/私有化运营：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GPU/推理成本（按行业AI SaaS经验）约占收入 </w:t>
      </w:r>
      <w:r>
        <w:rPr>
          <w:rFonts w:eastAsia="等线" w:ascii="Arial" w:cs="Arial" w:hAnsi="Arial"/>
          <w:b w:val="true"/>
          <w:sz w:val="22"/>
        </w:rPr>
        <w:t>5–10%</w:t>
      </w:r>
      <w:r>
        <w:rPr>
          <w:rFonts w:eastAsia="等线" w:ascii="Arial" w:cs="Arial" w:hAnsi="Arial"/>
          <w:sz w:val="22"/>
        </w:rPr>
        <w:t>。</w:t>
        <w:br/>
        <w:t>Year1：取 7% → 云成本 ≈ ¥22M</w:t>
        <w:br/>
        <w:t>Year2：8% → ¥54M</w:t>
        <w:br/>
      </w:r>
      <w:r>
        <w:rPr>
          <w:rFonts w:eastAsia="等线" w:ascii="Arial" w:cs="Arial" w:hAnsi="Arial"/>
          <w:sz w:val="22"/>
        </w:rPr>
        <w:t>Year3：9% → ¥98M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📌 七、研发与运营成本（年度）</w:t>
      </w:r>
      <w:bookmarkEnd w:id="21"/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20" o:title=""/>
          </v:shape>
          <o:OLEObject DrawAspect="Icon" ObjectID="_1718471224" ProgID="Excel.Sheet.12" ShapeID="_x0000_i1030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加上云资源成本：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 Cost Year1 ≈ ¥38M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 Cost Year2 ≈ ¥77M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 Cost Year3 ≈ ¥129M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📌 八、利润预测（中性场景）</w:t>
      </w:r>
      <w:bookmarkEnd w:id="22"/>
    </w:p>
    <w:p>
      <w:pPr>
        <w:spacing w:before="120" w:after="120" w:line="288" w:lineRule="auto"/>
        <w:ind w:left="0"/>
      </w:pPr>
      <w:r>
        <w:object>
          <v:shape id="_x0000_i1031" style="width:414pt;height:75pt;mso-width-percent:0;mso-height-percent:0;mso-width-percent:0;mso-height-percent:0" type="#_x0000_t75" o:ole="">
            <v:imagedata r:id="rId22" o:title=""/>
          </v:shape>
          <o:OLEObject DrawAspect="Icon" ObjectID="_1718471225" ProgID="Excel.Sheet.12" ShapeID="_x0000_i1031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利润率保持非常高，是典型高毛利 SaaS/AI 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📌 九、里程碑建议（含财务联动）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以下里程碑分三个阶段逐步推进，强调成本控制、产品成熟度、收入触达与用户转化。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🏁 Milestone 1 — MVP 上线与试点验证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时间周期：</w:t>
      </w:r>
      <w:r>
        <w:rPr>
          <w:rFonts w:eastAsia="等线" w:ascii="Arial" w:cs="Arial" w:hAnsi="Arial"/>
          <w:sz w:val="22"/>
        </w:rPr>
        <w:t xml:space="preserve"> 0–3 个月</w:t>
        <w:br/>
      </w:r>
      <w:r>
        <w:rPr>
          <w:rFonts w:eastAsia="等线" w:ascii="Arial" w:cs="Arial" w:hAnsi="Arial"/>
          <w:b w:val="true"/>
          <w:sz w:val="22"/>
        </w:rPr>
        <w:t>目标：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 MVP（涵盖：本地脱敏、智能体基础编排、个人版与企业版基础 SaaS）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3–10 家企业试点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500 名个人用户（¥0 免费或 token 付费）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里程碑输出成果：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核心功能稳定可运行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企业版私有化部署初版（轻量）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个人版上线，可执行脱敏/工作流模板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投入与成本（预估）：</w:t>
      </w:r>
    </w:p>
    <w:p>
      <w:pPr>
        <w:spacing w:before="120" w:after="120" w:line="288" w:lineRule="auto"/>
        <w:ind w:left="0"/>
      </w:pPr>
      <w:r>
        <w:object>
          <v:shape id="_x0000_i1032" style="width:414pt;height:128pt;mso-width-percent:0;mso-height-percent:0;mso-width-percent:0;mso-height-percent:0" type="#_x0000_t75" o:ole="">
            <v:imagedata r:id="rId24" o:title=""/>
          </v:shape>
          <o:OLEObject DrawAspect="Icon" ObjectID="_1718471226" ProgID="Excel.Sheet.12" ShapeID="_x0000_i1032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收入预估（本阶段）：</w:t>
      </w:r>
    </w:p>
    <w:p>
      <w:pPr>
        <w:spacing w:before="120" w:after="120" w:line="288" w:lineRule="auto"/>
        <w:ind w:left="0"/>
      </w:pPr>
      <w:r>
        <w:object>
          <v:shape id="_x0000_i1033" style="width:414pt;height:107pt;mso-width-percent:0;mso-height-percent:0;mso-width-percent:0;mso-height-percent:0" type="#_x0000_t75" o:ole="">
            <v:imagedata r:id="rId26" o:title=""/>
          </v:shape>
          <o:OLEObject DrawAspect="Icon" ObjectID="_1718471227" ProgID="Excel.Sheet.12" ShapeID="_x0000_i1033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本阶段结论：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投入 </w:t>
      </w:r>
      <w:r>
        <w:rPr>
          <w:rFonts w:eastAsia="等线" w:ascii="Arial" w:cs="Arial" w:hAnsi="Arial"/>
          <w:b w:val="true"/>
          <w:sz w:val="22"/>
        </w:rPr>
        <w:t>¥3.6M</w:t>
      </w:r>
      <w:r>
        <w:rPr>
          <w:rFonts w:eastAsia="等线" w:ascii="Arial" w:cs="Arial" w:hAnsi="Arial"/>
          <w:sz w:val="22"/>
        </w:rPr>
        <w:t>，预计收入 ~</w:t>
      </w:r>
      <w:r>
        <w:rPr>
          <w:rFonts w:eastAsia="等线" w:ascii="Arial" w:cs="Arial" w:hAnsi="Arial"/>
          <w:b w:val="true"/>
          <w:sz w:val="22"/>
        </w:rPr>
        <w:t>¥3.0M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可控成本区间内完成 MVP 与验证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云资源成本控制在 </w:t>
      </w:r>
      <w:r>
        <w:rPr>
          <w:rFonts w:eastAsia="等线" w:ascii="Arial" w:cs="Arial" w:hAnsi="Arial"/>
          <w:b w:val="true"/>
          <w:sz w:val="22"/>
        </w:rPr>
        <w:t>¥100 万/年以内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🧩 Milestone 2 — 小规模商业化起步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时间周期：</w:t>
      </w:r>
      <w:r>
        <w:rPr>
          <w:rFonts w:eastAsia="等线" w:ascii="Arial" w:cs="Arial" w:hAnsi="Arial"/>
          <w:sz w:val="22"/>
        </w:rPr>
        <w:t xml:space="preserve"> 3–9 个月</w:t>
        <w:br/>
      </w:r>
      <w:r>
        <w:rPr>
          <w:rFonts w:eastAsia="等线" w:ascii="Arial" w:cs="Arial" w:hAnsi="Arial"/>
          <w:b w:val="true"/>
          <w:sz w:val="22"/>
        </w:rPr>
        <w:t>目标：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 </w:t>
      </w:r>
      <w:r>
        <w:rPr>
          <w:rFonts w:eastAsia="等线" w:ascii="Arial" w:cs="Arial" w:hAnsi="Arial"/>
          <w:b w:val="true"/>
          <w:sz w:val="22"/>
        </w:rPr>
        <w:t>500 家 SaaS 企业付费客户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完成 </w:t>
      </w:r>
      <w:r>
        <w:rPr>
          <w:rFonts w:eastAsia="等线" w:ascii="Arial" w:cs="Arial" w:hAnsi="Arial"/>
          <w:b w:val="true"/>
          <w:sz w:val="22"/>
        </w:rPr>
        <w:t>20 个私有化部署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 </w:t>
      </w:r>
      <w:r>
        <w:rPr>
          <w:rFonts w:eastAsia="等线" w:ascii="Arial" w:cs="Arial" w:hAnsi="Arial"/>
          <w:b w:val="true"/>
          <w:sz w:val="22"/>
        </w:rPr>
        <w:t>10,000 名个人付费用户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里程碑输出成果：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企业版功能升级（权限管理、审计、规模化运维）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私有化版成熟交付流程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个人版增长体系（模板 + 社区 + 付费 + token 机制）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收入预估（中性）：</w:t>
      </w:r>
    </w:p>
    <w:p>
      <w:pPr>
        <w:spacing w:before="120" w:after="120" w:line="288" w:lineRule="auto"/>
        <w:ind w:left="0"/>
      </w:pPr>
      <w:r>
        <w:object>
          <v:shape id="_x0000_i1034" style="width:414pt;height:128pt;mso-width-percent:0;mso-height-percent:0;mso-width-percent:0;mso-height-percent:0" type="#_x0000_t75" o:ole="">
            <v:imagedata r:id="rId28" o:title=""/>
          </v:shape>
          <o:OLEObject DrawAspect="Icon" ObjectID="_1718471228" ProgID="Excel.Sheet.12" ShapeID="_x0000_i1034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成本预估（本阶段）：</w:t>
      </w:r>
    </w:p>
    <w:p>
      <w:pPr>
        <w:spacing w:before="120" w:after="120" w:line="288" w:lineRule="auto"/>
        <w:ind w:left="0"/>
      </w:pPr>
      <w:r>
        <w:object>
          <v:shape id="_x0000_i1035" style="width:414pt;height:112pt;mso-width-percent:0;mso-height-percent:0;mso-width-percent:0;mso-height-percent:0" type="#_x0000_t75" o:ole="">
            <v:imagedata r:id="rId30" o:title=""/>
          </v:shape>
          <o:OLEObject DrawAspect="Icon" ObjectID="_1718471229" ProgID="Excel.Sheet.12" ShapeID="_x0000_i1035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本阶段结论：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收入 ~ </w:t>
      </w:r>
      <w:r>
        <w:rPr>
          <w:rFonts w:eastAsia="等线" w:ascii="Arial" w:cs="Arial" w:hAnsi="Arial"/>
          <w:b w:val="true"/>
          <w:sz w:val="22"/>
        </w:rPr>
        <w:t>¥91M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成本 ~ </w:t>
      </w:r>
      <w:r>
        <w:rPr>
          <w:rFonts w:eastAsia="等线" w:ascii="Arial" w:cs="Arial" w:hAnsi="Arial"/>
          <w:b w:val="true"/>
          <w:sz w:val="22"/>
        </w:rPr>
        <w:t>¥11.4M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盈利能力显著增强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云成本仍然低于年收入 1.2%，用户按 token 付费自负推理成本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📌 Milestone 3 — 规模化与行业纵深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🗓 时间周期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9–36 个月（3 年内进入规模化扩张阶段）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理由：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2025 年中国企业级 SaaS 市场规模已约 </w:t>
      </w:r>
      <w:r>
        <w:rPr>
          <w:rFonts w:eastAsia="等线" w:ascii="Arial" w:cs="Arial" w:hAnsi="Arial"/>
          <w:b w:val="true"/>
          <w:sz w:val="22"/>
        </w:rPr>
        <w:t>¥1,860 亿元</w:t>
      </w:r>
      <w:r>
        <w:rPr>
          <w:rFonts w:eastAsia="等线" w:ascii="Arial" w:cs="Arial" w:hAnsi="Arial"/>
          <w:sz w:val="22"/>
        </w:rPr>
        <w:t>，正进入“规模化探索期”</w:t>
      </w:r>
      <w:hyperlink r:id="rId31">
        <w:r>
          <w:rPr>
            <w:rFonts w:eastAsia="等线" w:ascii="Arial" w:cs="Arial" w:hAnsi="Arial"/>
            <w:color w:val="3370ff"/>
            <w:sz w:val="22"/>
          </w:rPr>
          <w:t>36Kr</w:t>
        </w:r>
      </w:hyperlink>
      <w:hyperlink r:id="rId32">
        <w:r>
          <w:rPr>
            <w:rFonts w:eastAsia="等线" w:ascii="Arial" w:cs="Arial" w:hAnsi="Arial"/>
            <w:color w:val="3370ff"/>
            <w:sz w:val="22"/>
          </w:rPr>
          <w:t>品玩</w:t>
        </w:r>
      </w:hyperlink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商业化从概念验证向规模落地过渡。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🎯 目标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企业业务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SaaS 付费企业用户数达到 </w:t>
      </w:r>
      <w:r>
        <w:rPr>
          <w:rFonts w:eastAsia="等线" w:ascii="Arial" w:cs="Arial" w:hAnsi="Arial"/>
          <w:b w:val="true"/>
          <w:sz w:val="22"/>
        </w:rPr>
        <w:t>2,000 家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私有化部署企业 </w:t>
      </w:r>
      <w:r>
        <w:rPr>
          <w:rFonts w:eastAsia="等线" w:ascii="Arial" w:cs="Arial" w:hAnsi="Arial"/>
          <w:b w:val="true"/>
          <w:sz w:val="22"/>
        </w:rPr>
        <w:t>累计 300 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个人业务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年度付费（¥500/年）用户 </w:t>
      </w:r>
      <w:r>
        <w:rPr>
          <w:rFonts w:eastAsia="等线" w:ascii="Arial" w:cs="Arial" w:hAnsi="Arial"/>
          <w:b w:val="true"/>
          <w:sz w:val="22"/>
        </w:rPr>
        <w:t>累计 300,000 人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Token 消费用户规模 </w:t>
      </w:r>
      <w:r>
        <w:rPr>
          <w:rFonts w:eastAsia="等线" w:ascii="Arial" w:cs="Arial" w:hAnsi="Arial"/>
          <w:b w:val="true"/>
          <w:sz w:val="22"/>
        </w:rPr>
        <w:t>累计 200,000 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行业纵深与产品迭代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完整行业模板库（含金融、医疗、政务、司法、公安等）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高级审计/合规工具模块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企业级知识图谱与行业定制工作流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📌 里程碑输出成果</w:t>
      </w:r>
      <w:bookmarkEnd w:id="29"/>
    </w:p>
    <w:p>
      <w:pPr>
        <w:spacing w:before="120" w:after="120" w:line="288" w:lineRule="auto"/>
        <w:ind w:left="0"/>
      </w:pPr>
      <w:r>
        <w:object>
          <v:shape id="_x0000_i1036" style="width:414pt;height:90pt;mso-width-percent:0;mso-height-percent:0;mso-width-percent:0;mso-height-percent:0" type="#_x0000_t75" o:ole="">
            <v:imagedata r:id="rId34" o:title=""/>
          </v:shape>
          <o:OLEObject DrawAspect="Icon" ObjectID="_1718471230" ProgID="Excel.Sheet.12" ShapeID="_x0000_i1036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💰 收入预估（中性场景）</w:t>
      </w:r>
      <w:bookmarkEnd w:id="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企业 SaaS 收入</w:t>
      </w:r>
      <w:bookmarkEnd w:id="3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2,000 企业 × ¥120,000/年 = </w:t>
      </w:r>
      <w:r>
        <w:rPr>
          <w:rFonts w:eastAsia="等线" w:ascii="Arial" w:cs="Arial" w:hAnsi="Arial"/>
          <w:b w:val="true"/>
          <w:sz w:val="22"/>
        </w:rPr>
        <w:t>¥240,000,000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私有化一次性部署收入</w:t>
      </w:r>
      <w:bookmarkEnd w:id="3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300 部署 × ¥1,000,000 = </w:t>
      </w:r>
      <w:r>
        <w:rPr>
          <w:rFonts w:eastAsia="等线" w:ascii="Arial" w:cs="Arial" w:hAnsi="Arial"/>
          <w:b w:val="true"/>
          <w:sz w:val="22"/>
        </w:rPr>
        <w:t>¥300,000,000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私有化维保收入（年）</w:t>
      </w:r>
      <w:bookmarkEnd w:id="3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300 × 15% × ¥1,000,000 = </w:t>
      </w:r>
      <w:r>
        <w:rPr>
          <w:rFonts w:eastAsia="等线" w:ascii="Arial" w:cs="Arial" w:hAnsi="Arial"/>
          <w:b w:val="true"/>
          <w:sz w:val="22"/>
        </w:rPr>
        <w:t>¥45,000,000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个人版收入</w:t>
      </w:r>
      <w:bookmarkEnd w:id="3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5" w:id="35"/>
      <w:r>
        <w:rPr>
          <w:rFonts w:eastAsia="等线" w:ascii="Arial" w:cs="Arial" w:hAnsi="Arial"/>
          <w:b w:val="true"/>
          <w:sz w:val="24"/>
        </w:rPr>
        <w:t>一次性年度（¥500/人）</w:t>
      </w:r>
      <w:bookmarkEnd w:id="3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300,000 × ¥500 = </w:t>
      </w:r>
      <w:r>
        <w:rPr>
          <w:rFonts w:eastAsia="等线" w:ascii="Arial" w:cs="Arial" w:hAnsi="Arial"/>
          <w:b w:val="true"/>
          <w:sz w:val="22"/>
        </w:rPr>
        <w:t>¥150,000,000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6" w:id="36"/>
      <w:r>
        <w:rPr>
          <w:rFonts w:eastAsia="等线" w:ascii="Arial" w:cs="Arial" w:hAnsi="Arial"/>
          <w:b w:val="true"/>
          <w:sz w:val="24"/>
        </w:rPr>
        <w:t>Token 收费</w:t>
      </w:r>
      <w:bookmarkEnd w:id="36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200,000 × 平均 ¥300 = </w:t>
      </w:r>
      <w:r>
        <w:rPr>
          <w:rFonts w:eastAsia="等线" w:ascii="Arial" w:cs="Arial" w:hAnsi="Arial"/>
          <w:b w:val="true"/>
          <w:sz w:val="22"/>
        </w:rPr>
        <w:t>¥60,000,000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b w:val="true"/>
          <w:sz w:val="24"/>
        </w:rPr>
        <w:t>🌟 本阶段总收入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≈ ¥795,000,000</w:t>
      </w:r>
      <w:r>
        <w:rPr>
          <w:rFonts w:eastAsia="等线" w:ascii="Arial" w:cs="Arial" w:hAnsi="Arial"/>
          <w:sz w:val="22"/>
        </w:rPr>
        <w:t>（约 7.95 亿元）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🧾 成本预估（本阶段）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 Milestone 3 规模化阶段需要更强的研发、运营支持、行业模板开发等投入，以及标准化部署与售后支持：</w:t>
      </w:r>
    </w:p>
    <w:p>
      <w:pPr>
        <w:spacing w:before="120" w:after="120" w:line="288" w:lineRule="auto"/>
        <w:ind w:left="0"/>
      </w:pPr>
      <w:r>
        <w:object>
          <v:shape id="_x0000_i1037" style="width:414pt;height:112pt;mso-width-percent:0;mso-height-percent:0;mso-width-percent:0;mso-height-percent:0" type="#_x0000_t75" o:ole="">
            <v:imagedata r:id="rId36" o:title=""/>
          </v:shape>
          <o:OLEObject DrawAspect="Icon" ObjectID="_1718471231" ProgID="Excel.Sheet.12" ShapeID="_x0000_i1037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成本说明：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云/托管成本含后台管理、日志服务、存储等（不含推理 token，企业按量付费）。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中国企业云服务市场在 2025 年约 </w:t>
      </w:r>
      <w:r>
        <w:rPr>
          <w:rFonts w:eastAsia="等线" w:ascii="Arial" w:cs="Arial" w:hAnsi="Arial"/>
          <w:b w:val="true"/>
          <w:sz w:val="22"/>
        </w:rPr>
        <w:t>¥145 亿</w:t>
      </w:r>
      <w:r>
        <w:rPr>
          <w:rFonts w:eastAsia="等线" w:ascii="Arial" w:cs="Arial" w:hAnsi="Arial"/>
          <w:sz w:val="22"/>
        </w:rPr>
        <w:t>，增长空间大</w:t>
      </w:r>
      <w:hyperlink r:id="rId37">
        <w:r>
          <w:rPr>
            <w:rFonts w:eastAsia="等线" w:ascii="Arial" w:cs="Arial" w:hAnsi="Arial"/>
            <w:color w:val="3370ff"/>
            <w:sz w:val="22"/>
          </w:rPr>
          <w:t>LinkedIn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整体成本远低于营收，符合 SaaS 行业高毛利特征。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📊 本阶段结论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在 Milestone 3 规模化阶段：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收入规模可达 </w:t>
      </w:r>
      <w:r>
        <w:rPr>
          <w:rFonts w:eastAsia="等线" w:ascii="Arial" w:cs="Arial" w:hAnsi="Arial"/>
          <w:b w:val="true"/>
          <w:sz w:val="22"/>
        </w:rPr>
        <w:t>约 8 亿元人民币/年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成本控制在 </w:t>
      </w:r>
      <w:r>
        <w:rPr>
          <w:rFonts w:eastAsia="等线" w:ascii="Arial" w:cs="Arial" w:hAnsi="Arial"/>
          <w:b w:val="true"/>
          <w:sz w:val="22"/>
        </w:rPr>
        <w:t>&lt; ¥0.5 亿元/年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净利润预计在 </w:t>
      </w:r>
      <w:r>
        <w:rPr>
          <w:rFonts w:eastAsia="等线" w:ascii="Arial" w:cs="Arial" w:hAnsi="Arial"/>
          <w:b w:val="true"/>
          <w:sz w:val="22"/>
        </w:rPr>
        <w:t>¥7.4 亿级别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这代表产品商业模式成熟、财务健康、突破“从验证到规模化”的关键落地节点。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原因如下：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市场成熟度提升显著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2025 年中国企业级 SaaS 市场规模约 </w:t>
      </w:r>
      <w:r>
        <w:rPr>
          <w:rFonts w:eastAsia="等线" w:ascii="Arial" w:cs="Arial" w:hAnsi="Arial"/>
          <w:b w:val="true"/>
          <w:sz w:val="22"/>
        </w:rPr>
        <w:t>¥1,860 亿元</w:t>
      </w:r>
      <w:r>
        <w:rPr>
          <w:rFonts w:eastAsia="等线" w:ascii="Arial" w:cs="Arial" w:hAnsi="Arial"/>
          <w:sz w:val="22"/>
        </w:rPr>
        <w:t>，增长虽放缓但基础坚实</w:t>
      </w:r>
      <w:hyperlink r:id="rId38">
        <w:r>
          <w:rPr>
            <w:rFonts w:eastAsia="等线" w:ascii="Arial" w:cs="Arial" w:hAnsi="Arial"/>
            <w:color w:val="3370ff"/>
            <w:sz w:val="22"/>
          </w:rPr>
          <w:t>36Kr</w:t>
        </w:r>
      </w:hyperlink>
      <w:r>
        <w:rPr>
          <w:rFonts w:eastAsia="等线" w:ascii="Arial" w:cs="Arial" w:hAnsi="Arial"/>
          <w:sz w:val="22"/>
        </w:rPr>
        <w:t>；AI 商业化进入“规模化探索期”，对高效办公类智能产品需求更刚性</w:t>
      </w:r>
      <w:hyperlink r:id="rId39">
        <w:r>
          <w:rPr>
            <w:rFonts w:eastAsia="等线" w:ascii="Arial" w:cs="Arial" w:hAnsi="Arial"/>
            <w:color w:val="3370ff"/>
            <w:sz w:val="22"/>
          </w:rPr>
          <w:t>品玩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高毛利 SaaS 与私有化收入混合模型健康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SaaS 年度订阅、私有化高潜值部署、维保与个人收入的混合模式形成强现金流。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云基础设施快速发展支撑长期运营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中国云计算支出持续增速（云端市场在 2025 年达数百亿元规模），为企业级 AI 应用提供稳定底座</w:t>
      </w:r>
      <w:hyperlink r:id="rId40">
        <w:r>
          <w:rPr>
            <w:rFonts w:eastAsia="等线" w:ascii="Arial" w:cs="Arial" w:hAnsi="Arial"/>
            <w:color w:val="3370ff"/>
            <w:sz w:val="22"/>
          </w:rPr>
          <w:t>TEKsystems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市场长期增长预期良好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中国 AI 市场整体预计从 2025 起高速增长至 2032 年（从 ~USD 28.18B 起算）</w:t>
      </w:r>
      <w:hyperlink r:id="rId41">
        <w:r>
          <w:rPr>
            <w:rFonts w:eastAsia="等线" w:ascii="Arial" w:cs="Arial" w:hAnsi="Arial"/>
            <w:color w:val="3370ff"/>
            <w:sz w:val="22"/>
          </w:rPr>
          <w:t>Fortune Business Insights</w:t>
        </w:r>
      </w:hyperlink>
      <w:r>
        <w:rPr>
          <w:rFonts w:eastAsia="等线" w:ascii="Arial" w:cs="Arial" w:hAnsi="Arial"/>
          <w:sz w:val="22"/>
        </w:rPr>
        <w:t xml:space="preserve">，大型云与AI基础设施投资强劲（阿里云未来数年投入逾 </w:t>
      </w:r>
      <w:r>
        <w:rPr>
          <w:rFonts w:eastAsia="等线" w:ascii="Arial" w:cs="Arial" w:hAnsi="Arial"/>
          <w:b w:val="true"/>
          <w:sz w:val="22"/>
        </w:rPr>
        <w:t>¥3800 亿元</w:t>
      </w:r>
      <w:r>
        <w:rPr>
          <w:rFonts w:eastAsia="等线" w:ascii="Arial" w:cs="Arial" w:hAnsi="Arial"/>
          <w:sz w:val="22"/>
        </w:rPr>
        <w:t>）</w:t>
      </w:r>
      <w:hyperlink r:id="rId42">
        <w:r>
          <w:rPr>
            <w:rFonts w:eastAsia="等线" w:ascii="Arial" w:cs="Arial" w:hAnsi="Arial"/>
            <w:color w:val="3370ff"/>
            <w:sz w:val="22"/>
          </w:rPr>
          <w:t>Reuters</w:t>
        </w:r>
      </w:hyperlink>
      <w:hyperlink r:id="rId43">
        <w:r>
          <w:rPr>
            <w:rFonts w:eastAsia="等线" w:ascii="Arial" w:cs="Arial" w:hAnsi="Arial"/>
            <w:color w:val="3370ff"/>
            <w:sz w:val="22"/>
          </w:rPr>
          <w:t>AP News</w:t>
        </w:r>
      </w:hyperlink>
      <w:r>
        <w:rPr>
          <w:rFonts w:eastAsia="等线" w:ascii="Arial" w:cs="Arial" w:hAnsi="Arial"/>
          <w:sz w:val="22"/>
        </w:rPr>
        <w:t>，外部生态支持明显。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📌 整体里程碑对比（精要）</w:t>
      </w:r>
      <w:bookmarkEnd w:id="40"/>
    </w:p>
    <w:p>
      <w:pPr>
        <w:spacing w:before="120" w:after="120" w:line="288" w:lineRule="auto"/>
        <w:ind w:left="0"/>
      </w:pPr>
      <w:r>
        <w:object>
          <v:shape id="_x0000_i1038" style="width:414pt;height:112pt;mso-width-percent:0;mso-height-percent:0;mso-width-percent:0;mso-height-percent:0" type="#_x0000_t75" o:ole="">
            <v:imagedata r:id="rId45" o:title=""/>
          </v:shape>
          <o:OLEObject DrawAspect="Icon" ObjectID="_1718471232" ProgID="Excel.Sheet.12" ShapeID="_x0000_i1038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📌 备注与重要引用</w:t>
      </w:r>
      <w:bookmarkEnd w:id="4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中国企业级 SaaS 市场规模参考：中国市场在 2025 规模约 ¥1,860 亿元</w:t>
      </w:r>
      <w:r>
        <w:rPr>
          <w:rFonts w:eastAsia="等线" w:ascii="Arial" w:cs="Arial" w:hAnsi="Arial"/>
          <w:sz w:val="22"/>
        </w:rPr>
        <w:t>（IDC 数据）</w:t>
      </w:r>
      <w:hyperlink r:id="rId46">
        <w:r>
          <w:rPr>
            <w:rFonts w:eastAsia="等线" w:ascii="Arial" w:cs="Arial" w:hAnsi="Arial"/>
            <w:color w:val="3370ff"/>
            <w:sz w:val="22"/>
          </w:rPr>
          <w:t>36Kr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软件/云基础设施发展趋势</w:t>
      </w:r>
      <w:r>
        <w:rPr>
          <w:rFonts w:eastAsia="等线" w:ascii="Arial" w:cs="Arial" w:hAnsi="Arial"/>
          <w:sz w:val="22"/>
        </w:rPr>
        <w:t>：中国 AI 市场快速增长，云投入显著（阿里云等企业2015–2028大规模投资）</w:t>
      </w:r>
      <w:hyperlink r:id="rId47">
        <w:r>
          <w:rPr>
            <w:rFonts w:eastAsia="等线" w:ascii="Arial" w:cs="Arial" w:hAnsi="Arial"/>
            <w:color w:val="3370ff"/>
            <w:sz w:val="22"/>
          </w:rPr>
          <w:t>Reuters</w:t>
        </w:r>
      </w:hyperlink>
      <w:hyperlink r:id="rId48">
        <w:r>
          <w:rPr>
            <w:rFonts w:eastAsia="等线" w:ascii="Arial" w:cs="Arial" w:hAnsi="Arial"/>
            <w:color w:val="3370ff"/>
            <w:sz w:val="22"/>
          </w:rPr>
          <w:t>AP News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SaaS 行业整体处于“价值修正期”，企业对深度嵌入业务的AI付费意愿更高</w:t>
      </w:r>
      <w:hyperlink r:id="rId49">
        <w:r>
          <w:rPr>
            <w:rFonts w:eastAsia="等线" w:ascii="Arial" w:cs="Arial" w:hAnsi="Arial"/>
            <w:color w:val="3370ff"/>
            <w:sz w:val="22"/>
          </w:rPr>
          <w:t>Ebrun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数据中心市场长线预期增长（2025+）也支持长期基础设施投入前景</w:t>
      </w:r>
      <w:hyperlink r:id="rId50">
        <w:r>
          <w:rPr>
            <w:rFonts w:eastAsia="等线" w:ascii="Arial" w:cs="Arial" w:hAnsi="Arial"/>
            <w:color w:val="3370ff"/>
            <w:sz w:val="22"/>
          </w:rPr>
          <w:t>Grand View Research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📌 云服务资源成本调整说明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针对当前里程碑设定（主要 Milestone 1 &amp; 2）我们考虑：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1) 初期个人用户规模对云资源需求</w:t>
      </w:r>
      <w:bookmarkEnd w:id="43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个人用户（500 ~ 10,000）规模，模型推理量小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大多数推理工作由用户 token 计费自行承担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企业版云推理按用户 token 使用外部计费（不算公司成本）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➡️ 因此在个人快速增长阶段 </w:t>
      </w:r>
      <w:r>
        <w:rPr>
          <w:rFonts w:eastAsia="等线" w:ascii="Arial" w:cs="Arial" w:hAnsi="Arial"/>
          <w:b w:val="true"/>
          <w:sz w:val="22"/>
        </w:rPr>
        <w:t>公司自身云推理成本基本可忽略</w:t>
      </w:r>
      <w:r>
        <w:rPr>
          <w:rFonts w:eastAsia="等线" w:ascii="Arial" w:cs="Arial" w:hAnsi="Arial"/>
          <w:sz w:val="22"/>
        </w:rPr>
        <w:t xml:space="preserve">，保守假设内部测试/辅助系统占比 </w:t>
      </w:r>
      <w:r>
        <w:rPr>
          <w:rFonts w:eastAsia="等线" w:ascii="Arial" w:cs="Arial" w:hAnsi="Arial"/>
          <w:b w:val="true"/>
          <w:sz w:val="22"/>
        </w:rPr>
        <w:t>¥50–100万/年</w:t>
      </w:r>
      <w:r>
        <w:rPr>
          <w:rFonts w:eastAsia="等线" w:ascii="Arial" w:cs="Arial" w:hAnsi="Arial"/>
          <w:sz w:val="22"/>
        </w:rPr>
        <w:t xml:space="preserve"> 即可覆盖研发测试与最小在线稳定性需求。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2) 企业 SASS &amp; 管理后台云资源预算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企业版主要云资源成本来自：</w:t>
      </w:r>
    </w:p>
    <w:p>
      <w:pPr>
        <w:spacing w:before="120" w:after="120" w:line="288" w:lineRule="auto"/>
        <w:ind w:left="0"/>
      </w:pPr>
      <w:r>
        <w:object>
          <v:shape id="_x0000_i1039" style="width:414pt;height:85pt;mso-width-percent:0;mso-height-percent:0;mso-width-percent:0;mso-height-percent:0" type="#_x0000_t75" o:ole="">
            <v:imagedata r:id="rId52" o:title=""/>
          </v:shape>
          <o:OLEObject DrawAspect="Icon" ObjectID="_1718471233" ProgID="Excel.Sheet.12" ShapeID="_x0000_i1039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按 Milestone 2 设定，</w:t>
      </w:r>
      <w:r>
        <w:rPr>
          <w:rFonts w:eastAsia="等线" w:ascii="Arial" w:cs="Arial" w:hAnsi="Arial"/>
          <w:b w:val="true"/>
          <w:sz w:val="22"/>
        </w:rPr>
        <w:t>整体云成本不超过 ¥900,000/年</w:t>
      </w:r>
      <w:r>
        <w:rPr>
          <w:rFonts w:eastAsia="等线" w:ascii="Arial" w:cs="Arial" w:hAnsi="Arial"/>
          <w:sz w:val="22"/>
        </w:rPr>
        <w:t xml:space="preserve"> 是合理且可控的。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📌 履约与成本控制策略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为确保云成本稳定可控，应采取：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计费由用户（企业/个人）自行负担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Cloud 推理部分由用户预付 token 使用量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公司不承担实时推理巨额成本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混合部署架构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低成本本地模型优先，云端调用仅在必需时触发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公司内部仅保留后端控制台与管理服务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限量级别阶段资源预留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Milestone 1 与 Milestone 2 阶段使用预付包年/预留实例，避免随用随付成本飙升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📌 里程碑总结表</w:t>
      </w:r>
      <w:bookmarkEnd w:id="46"/>
    </w:p>
    <w:p>
      <w:pPr>
        <w:spacing w:before="120" w:after="120" w:line="288" w:lineRule="auto"/>
        <w:ind w:left="0"/>
      </w:pPr>
      <w:r>
        <w:object>
          <v:shape id="_x0000_i1040" style="width:414pt;height:75pt;mso-width-percent:0;mso-height-percent:0;mso-width-percent:0;mso-height-percent:0" type="#_x0000_t75" o:ole="">
            <v:imagedata r:id="rId54" o:title=""/>
          </v:shape>
          <o:OLEObject DrawAspect="Icon" ObjectID="_1718471234" ProgID="Excel.Sheet.12" ShapeID="_x0000_i1040" Type="Embed" r:id="rId5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📌 十、风险、敏感性与应对措施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风险 1｜企业销售周期长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对策</w:t>
      </w:r>
      <w:r>
        <w:rPr>
          <w:rFonts w:eastAsia="等线" w:ascii="Arial" w:cs="Arial" w:hAnsi="Arial"/>
          <w:sz w:val="22"/>
        </w:rPr>
        <w:t>：模板化标准交付 + 快速 POC → 加速从试点到付费。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风险 2｜云服务爆发式资源消耗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由用户付费 → 降低公司承担风险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本地优先推理 → 降低云调用频次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风险 3｜私有化团队交付压力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制定标准化部署包 + 自动化脚本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维保服务按单收费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风险 4｜技术与安全法规影响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：内控与合规专家团队、行业白皮书与认证。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风险 5｜模型调用与付费不稳定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>：分层计费 + token 预付 + 套餐锁定。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📌 十一、商业可行性结论</w:t>
      </w:r>
      <w:bookmarkEnd w:id="53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 SaaS 与 AI 软件市场</w:t>
      </w:r>
      <w:r>
        <w:rPr>
          <w:rFonts w:eastAsia="等线" w:ascii="Arial" w:cs="Arial" w:hAnsi="Arial"/>
          <w:sz w:val="22"/>
        </w:rPr>
        <w:t>在 2025 年已突破多个百亿级市场规模，且数据安全需求在金融/医疗等行业快速上升。(</w:t>
      </w:r>
      <w:hyperlink r:id="rId55">
        <w:r>
          <w:rPr>
            <w:rFonts w:eastAsia="等线" w:ascii="Arial" w:cs="Arial" w:hAnsi="Arial"/>
            <w:color w:val="3370ff"/>
            <w:sz w:val="22"/>
          </w:rPr>
          <w:t>Shijiazhuang Data Bureau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CheersAI 定位于</w:t>
      </w:r>
      <w:r>
        <w:rPr>
          <w:rFonts w:eastAsia="等线" w:ascii="Arial" w:cs="Arial" w:hAnsi="Arial"/>
          <w:b w:val="true"/>
          <w:sz w:val="22"/>
        </w:rPr>
        <w:t>高合规与 AI 生产力场景</w:t>
      </w:r>
      <w:r>
        <w:rPr>
          <w:rFonts w:eastAsia="等线" w:ascii="Arial" w:cs="Arial" w:hAnsi="Arial"/>
          <w:sz w:val="22"/>
        </w:rPr>
        <w:t>，企业端付费空间巨大（中性估值三年收入超十亿），利润率高。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个人版采用低门槛 + token 收费策略，能有效培养社区与生态流量，进而驱动付费转换与长尾市场渗透。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私有化版结合维保与定制服务，将成为</w:t>
      </w:r>
      <w:r>
        <w:rPr>
          <w:rFonts w:eastAsia="等线" w:ascii="Arial" w:cs="Arial" w:hAnsi="Arial"/>
          <w:b w:val="true"/>
          <w:sz w:val="22"/>
        </w:rPr>
        <w:t>现金流与客户黏性双驱动模式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Milestone 1 通过轻量试点与个人用户验证产品价值，适度投入（~¥3.6M）即可开始收入流。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Milestone 2 进入商业化快速增长阶段，企业版与个人版收入强劲（~¥91M），净利润率高，云资源成本受控且由用户分担。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CheersAI 商业模式具备高毛利、强扩展性的 SaaS + 私有化 + 个人付费复合收入结构，同时通过 token 机制降低云成本风险，是国内高合规场景 AI 解决方案的</w:t>
      </w:r>
      <w:r>
        <w:rPr>
          <w:rFonts w:eastAsia="等线" w:ascii="Arial" w:cs="Arial" w:hAnsi="Arial"/>
          <w:b w:val="true"/>
          <w:sz w:val="22"/>
        </w:rPr>
        <w:t>可行商业化路径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5690">
    <w:lvl>
      <w:numFmt w:val="bullet"/>
      <w:suff w:val="tab"/>
      <w:lvlText w:val="•"/>
      <w:rPr>
        <w:color w:val="3370ff"/>
      </w:rPr>
    </w:lvl>
  </w:abstractNum>
  <w:abstractNum w:abstractNumId="595691">
    <w:lvl>
      <w:numFmt w:val="bullet"/>
      <w:suff w:val="tab"/>
      <w:lvlText w:val="•"/>
      <w:rPr>
        <w:color w:val="3370ff"/>
      </w:rPr>
    </w:lvl>
  </w:abstractNum>
  <w:abstractNum w:abstractNumId="595692">
    <w:lvl>
      <w:numFmt w:val="bullet"/>
      <w:suff w:val="tab"/>
      <w:lvlText w:val="•"/>
      <w:rPr>
        <w:color w:val="3370ff"/>
      </w:rPr>
    </w:lvl>
  </w:abstractNum>
  <w:abstractNum w:abstractNumId="595693">
    <w:lvl>
      <w:numFmt w:val="bullet"/>
      <w:suff w:val="tab"/>
      <w:lvlText w:val="•"/>
      <w:rPr>
        <w:color w:val="3370ff"/>
      </w:rPr>
    </w:lvl>
  </w:abstractNum>
  <w:abstractNum w:abstractNumId="595694">
    <w:lvl>
      <w:numFmt w:val="bullet"/>
      <w:suff w:val="tab"/>
      <w:lvlText w:val="•"/>
      <w:rPr>
        <w:color w:val="3370ff"/>
      </w:rPr>
    </w:lvl>
  </w:abstractNum>
  <w:abstractNum w:abstractNumId="595695">
    <w:lvl>
      <w:numFmt w:val="bullet"/>
      <w:suff w:val="tab"/>
      <w:lvlText w:val="•"/>
      <w:rPr>
        <w:color w:val="3370ff"/>
      </w:rPr>
    </w:lvl>
  </w:abstractNum>
  <w:abstractNum w:abstractNumId="595696">
    <w:lvl>
      <w:numFmt w:val="bullet"/>
      <w:suff w:val="tab"/>
      <w:lvlText w:val="•"/>
      <w:rPr>
        <w:color w:val="3370ff"/>
      </w:rPr>
    </w:lvl>
  </w:abstractNum>
  <w:abstractNum w:abstractNumId="595697">
    <w:lvl>
      <w:numFmt w:val="bullet"/>
      <w:suff w:val="tab"/>
      <w:lvlText w:val="•"/>
      <w:rPr>
        <w:color w:val="3370ff"/>
      </w:rPr>
    </w:lvl>
  </w:abstractNum>
  <w:abstractNum w:abstractNumId="595698">
    <w:lvl>
      <w:numFmt w:val="bullet"/>
      <w:suff w:val="tab"/>
      <w:lvlText w:val="•"/>
      <w:rPr>
        <w:color w:val="3370ff"/>
      </w:rPr>
    </w:lvl>
  </w:abstractNum>
  <w:abstractNum w:abstractNumId="595699">
    <w:lvl>
      <w:start w:val="1"/>
      <w:numFmt w:val="decimal"/>
      <w:suff w:val="tab"/>
      <w:lvlText w:val="%1."/>
      <w:rPr>
        <w:color w:val="3370ff"/>
      </w:rPr>
    </w:lvl>
  </w:abstractNum>
  <w:abstractNum w:abstractNumId="595700">
    <w:lvl>
      <w:numFmt w:val="bullet"/>
      <w:suff w:val="tab"/>
      <w:lvlText w:val="￮"/>
      <w:rPr>
        <w:color w:val="3370ff"/>
      </w:rPr>
    </w:lvl>
  </w:abstractNum>
  <w:abstractNum w:abstractNumId="595701">
    <w:lvl>
      <w:start w:val="2"/>
      <w:numFmt w:val="decimal"/>
      <w:suff w:val="tab"/>
      <w:lvlText w:val="%1."/>
      <w:rPr>
        <w:color w:val="3370ff"/>
      </w:rPr>
    </w:lvl>
  </w:abstractNum>
  <w:abstractNum w:abstractNumId="595702">
    <w:lvl>
      <w:numFmt w:val="bullet"/>
      <w:suff w:val="tab"/>
      <w:lvlText w:val="￮"/>
      <w:rPr>
        <w:color w:val="3370ff"/>
      </w:rPr>
    </w:lvl>
  </w:abstractNum>
  <w:abstractNum w:abstractNumId="595703">
    <w:lvl>
      <w:numFmt w:val="bullet"/>
      <w:suff w:val="tab"/>
      <w:lvlText w:val="￮"/>
      <w:rPr>
        <w:color w:val="3370ff"/>
      </w:rPr>
    </w:lvl>
  </w:abstractNum>
  <w:abstractNum w:abstractNumId="595704">
    <w:lvl>
      <w:numFmt w:val="bullet"/>
      <w:suff w:val="tab"/>
      <w:lvlText w:val="•"/>
      <w:rPr>
        <w:color w:val="3370ff"/>
      </w:rPr>
    </w:lvl>
  </w:abstractNum>
  <w:abstractNum w:abstractNumId="595705">
    <w:lvl>
      <w:numFmt w:val="bullet"/>
      <w:suff w:val="tab"/>
      <w:lvlText w:val="•"/>
      <w:rPr>
        <w:color w:val="3370ff"/>
      </w:rPr>
    </w:lvl>
  </w:abstractNum>
  <w:abstractNum w:abstractNumId="595706">
    <w:lvl>
      <w:numFmt w:val="bullet"/>
      <w:suff w:val="tab"/>
      <w:lvlText w:val="•"/>
      <w:rPr>
        <w:color w:val="3370ff"/>
      </w:rPr>
    </w:lvl>
  </w:abstractNum>
  <w:abstractNum w:abstractNumId="595707">
    <w:lvl>
      <w:numFmt w:val="bullet"/>
      <w:suff w:val="tab"/>
      <w:lvlText w:val="•"/>
      <w:rPr>
        <w:color w:val="3370ff"/>
      </w:rPr>
    </w:lvl>
  </w:abstractNum>
  <w:abstractNum w:abstractNumId="595708">
    <w:lvl>
      <w:numFmt w:val="bullet"/>
      <w:suff w:val="tab"/>
      <w:lvlText w:val="•"/>
      <w:rPr>
        <w:color w:val="3370ff"/>
      </w:rPr>
    </w:lvl>
  </w:abstractNum>
  <w:abstractNum w:abstractNumId="595709">
    <w:lvl>
      <w:numFmt w:val="bullet"/>
      <w:suff w:val="tab"/>
      <w:lvlText w:val="•"/>
      <w:rPr>
        <w:color w:val="3370ff"/>
      </w:rPr>
    </w:lvl>
  </w:abstractNum>
  <w:abstractNum w:abstractNumId="595710">
    <w:lvl>
      <w:numFmt w:val="bullet"/>
      <w:suff w:val="tab"/>
      <w:lvlText w:val="•"/>
      <w:rPr>
        <w:color w:val="3370ff"/>
      </w:rPr>
    </w:lvl>
  </w:abstractNum>
  <w:abstractNum w:abstractNumId="595711">
    <w:lvl>
      <w:numFmt w:val="bullet"/>
      <w:suff w:val="tab"/>
      <w:lvlText w:val="•"/>
      <w:rPr>
        <w:color w:val="3370ff"/>
      </w:rPr>
    </w:lvl>
  </w:abstractNum>
  <w:abstractNum w:abstractNumId="595712">
    <w:lvl>
      <w:numFmt w:val="bullet"/>
      <w:suff w:val="tab"/>
      <w:lvlText w:val="•"/>
      <w:rPr>
        <w:color w:val="3370ff"/>
      </w:rPr>
    </w:lvl>
  </w:abstractNum>
  <w:abstractNum w:abstractNumId="595713">
    <w:lvl>
      <w:numFmt w:val="bullet"/>
      <w:suff w:val="tab"/>
      <w:lvlText w:val="•"/>
      <w:rPr>
        <w:color w:val="3370ff"/>
      </w:rPr>
    </w:lvl>
  </w:abstractNum>
  <w:abstractNum w:abstractNumId="595714">
    <w:lvl>
      <w:numFmt w:val="bullet"/>
      <w:suff w:val="tab"/>
      <w:lvlText w:val="•"/>
      <w:rPr>
        <w:color w:val="3370ff"/>
      </w:rPr>
    </w:lvl>
  </w:abstractNum>
  <w:abstractNum w:abstractNumId="595715">
    <w:lvl>
      <w:numFmt w:val="bullet"/>
      <w:suff w:val="tab"/>
      <w:lvlText w:val="•"/>
      <w:rPr>
        <w:color w:val="3370ff"/>
      </w:rPr>
    </w:lvl>
  </w:abstractNum>
  <w:abstractNum w:abstractNumId="595716">
    <w:lvl>
      <w:numFmt w:val="bullet"/>
      <w:suff w:val="tab"/>
      <w:lvlText w:val="•"/>
      <w:rPr>
        <w:color w:val="3370ff"/>
      </w:rPr>
    </w:lvl>
  </w:abstractNum>
  <w:abstractNum w:abstractNumId="595717">
    <w:lvl>
      <w:numFmt w:val="bullet"/>
      <w:suff w:val="tab"/>
      <w:lvlText w:val="•"/>
      <w:rPr>
        <w:color w:val="3370ff"/>
      </w:rPr>
    </w:lvl>
  </w:abstractNum>
  <w:abstractNum w:abstractNumId="595718">
    <w:lvl>
      <w:numFmt w:val="bullet"/>
      <w:suff w:val="tab"/>
      <w:lvlText w:val="•"/>
      <w:rPr>
        <w:color w:val="3370ff"/>
      </w:rPr>
    </w:lvl>
  </w:abstractNum>
  <w:abstractNum w:abstractNumId="595719">
    <w:lvl>
      <w:numFmt w:val="bullet"/>
      <w:suff w:val="tab"/>
      <w:lvlText w:val="•"/>
      <w:rPr>
        <w:color w:val="3370ff"/>
      </w:rPr>
    </w:lvl>
  </w:abstractNum>
  <w:abstractNum w:abstractNumId="595720">
    <w:lvl>
      <w:numFmt w:val="bullet"/>
      <w:suff w:val="tab"/>
      <w:lvlText w:val="•"/>
      <w:rPr>
        <w:color w:val="3370ff"/>
      </w:rPr>
    </w:lvl>
  </w:abstractNum>
  <w:abstractNum w:abstractNumId="595721">
    <w:lvl>
      <w:numFmt w:val="bullet"/>
      <w:suff w:val="tab"/>
      <w:lvlText w:val="•"/>
      <w:rPr>
        <w:color w:val="3370ff"/>
      </w:rPr>
    </w:lvl>
  </w:abstractNum>
  <w:abstractNum w:abstractNumId="595722">
    <w:lvl>
      <w:numFmt w:val="bullet"/>
      <w:suff w:val="tab"/>
      <w:lvlText w:val="•"/>
      <w:rPr>
        <w:color w:val="3370ff"/>
      </w:rPr>
    </w:lvl>
  </w:abstractNum>
  <w:abstractNum w:abstractNumId="595723">
    <w:lvl>
      <w:numFmt w:val="bullet"/>
      <w:suff w:val="tab"/>
      <w:lvlText w:val="•"/>
      <w:rPr>
        <w:color w:val="3370ff"/>
      </w:rPr>
    </w:lvl>
  </w:abstractNum>
  <w:abstractNum w:abstractNumId="595724">
    <w:lvl>
      <w:numFmt w:val="bullet"/>
      <w:suff w:val="tab"/>
      <w:lvlText w:val="•"/>
      <w:rPr>
        <w:color w:val="3370ff"/>
      </w:rPr>
    </w:lvl>
  </w:abstractNum>
  <w:abstractNum w:abstractNumId="595725">
    <w:lvl>
      <w:numFmt w:val="bullet"/>
      <w:suff w:val="tab"/>
      <w:lvlText w:val="•"/>
      <w:rPr>
        <w:color w:val="3370ff"/>
      </w:rPr>
    </w:lvl>
  </w:abstractNum>
  <w:abstractNum w:abstractNumId="595726">
    <w:lvl>
      <w:numFmt w:val="bullet"/>
      <w:suff w:val="tab"/>
      <w:lvlText w:val="•"/>
      <w:rPr>
        <w:color w:val="3370ff"/>
      </w:rPr>
    </w:lvl>
  </w:abstractNum>
  <w:abstractNum w:abstractNumId="595727">
    <w:lvl>
      <w:numFmt w:val="bullet"/>
      <w:suff w:val="tab"/>
      <w:lvlText w:val="•"/>
      <w:rPr>
        <w:color w:val="3370ff"/>
      </w:rPr>
    </w:lvl>
  </w:abstractNum>
  <w:abstractNum w:abstractNumId="595728">
    <w:lvl>
      <w:numFmt w:val="bullet"/>
      <w:suff w:val="tab"/>
      <w:lvlText w:val="•"/>
      <w:rPr>
        <w:color w:val="3370ff"/>
      </w:rPr>
    </w:lvl>
  </w:abstractNum>
  <w:abstractNum w:abstractNumId="595729">
    <w:lvl>
      <w:numFmt w:val="bullet"/>
      <w:suff w:val="tab"/>
      <w:lvlText w:val="•"/>
      <w:rPr>
        <w:color w:val="3370ff"/>
      </w:rPr>
    </w:lvl>
  </w:abstractNum>
  <w:abstractNum w:abstractNumId="595730">
    <w:lvl>
      <w:numFmt w:val="bullet"/>
      <w:suff w:val="tab"/>
      <w:lvlText w:val="•"/>
      <w:rPr>
        <w:color w:val="3370ff"/>
      </w:rPr>
    </w:lvl>
  </w:abstractNum>
  <w:abstractNum w:abstractNumId="595731">
    <w:lvl>
      <w:numFmt w:val="bullet"/>
      <w:suff w:val="tab"/>
      <w:lvlText w:val="•"/>
      <w:rPr>
        <w:color w:val="3370ff"/>
      </w:rPr>
    </w:lvl>
  </w:abstractNum>
  <w:abstractNum w:abstractNumId="595732">
    <w:lvl>
      <w:numFmt w:val="bullet"/>
      <w:suff w:val="tab"/>
      <w:lvlText w:val="•"/>
      <w:rPr>
        <w:color w:val="3370ff"/>
      </w:rPr>
    </w:lvl>
  </w:abstractNum>
  <w:abstractNum w:abstractNumId="595733">
    <w:lvl>
      <w:numFmt w:val="bullet"/>
      <w:suff w:val="tab"/>
      <w:lvlText w:val="•"/>
      <w:rPr>
        <w:color w:val="3370ff"/>
      </w:rPr>
    </w:lvl>
  </w:abstractNum>
  <w:abstractNum w:abstractNumId="595734">
    <w:lvl>
      <w:numFmt w:val="bullet"/>
      <w:suff w:val="tab"/>
      <w:lvlText w:val="•"/>
      <w:rPr>
        <w:color w:val="3370ff"/>
      </w:rPr>
    </w:lvl>
  </w:abstractNum>
  <w:abstractNum w:abstractNumId="595735">
    <w:lvl>
      <w:numFmt w:val="bullet"/>
      <w:suff w:val="tab"/>
      <w:lvlText w:val="•"/>
      <w:rPr>
        <w:color w:val="3370ff"/>
      </w:rPr>
    </w:lvl>
  </w:abstractNum>
  <w:abstractNum w:abstractNumId="595736">
    <w:lvl>
      <w:numFmt w:val="bullet"/>
      <w:suff w:val="tab"/>
      <w:lvlText w:val="•"/>
      <w:rPr>
        <w:color w:val="3370ff"/>
      </w:rPr>
    </w:lvl>
  </w:abstractNum>
  <w:abstractNum w:abstractNumId="595737">
    <w:lvl>
      <w:numFmt w:val="bullet"/>
      <w:suff w:val="tab"/>
      <w:lvlText w:val="•"/>
      <w:rPr>
        <w:color w:val="3370ff"/>
      </w:rPr>
    </w:lvl>
  </w:abstractNum>
  <w:abstractNum w:abstractNumId="595738">
    <w:lvl>
      <w:numFmt w:val="bullet"/>
      <w:suff w:val="tab"/>
      <w:lvlText w:val="•"/>
      <w:rPr>
        <w:color w:val="3370ff"/>
      </w:rPr>
    </w:lvl>
  </w:abstractNum>
  <w:abstractNum w:abstractNumId="595739">
    <w:lvl>
      <w:numFmt w:val="bullet"/>
      <w:suff w:val="tab"/>
      <w:lvlText w:val="•"/>
      <w:rPr>
        <w:color w:val="3370ff"/>
      </w:rPr>
    </w:lvl>
  </w:abstractNum>
  <w:abstractNum w:abstractNumId="595740">
    <w:lvl>
      <w:start w:val="1"/>
      <w:numFmt w:val="decimal"/>
      <w:suff w:val="tab"/>
      <w:lvlText w:val="%1."/>
      <w:rPr>
        <w:color w:val="3370ff"/>
      </w:rPr>
    </w:lvl>
  </w:abstractNum>
  <w:abstractNum w:abstractNumId="595741">
    <w:lvl>
      <w:numFmt w:val="bullet"/>
      <w:suff w:val="tab"/>
      <w:lvlText w:val="￮"/>
      <w:rPr>
        <w:color w:val="3370ff"/>
      </w:rPr>
    </w:lvl>
  </w:abstractNum>
  <w:abstractNum w:abstractNumId="595742">
    <w:lvl>
      <w:numFmt w:val="bullet"/>
      <w:suff w:val="tab"/>
      <w:lvlText w:val="￮"/>
      <w:rPr>
        <w:color w:val="3370ff"/>
      </w:rPr>
    </w:lvl>
  </w:abstractNum>
  <w:abstractNum w:abstractNumId="595743">
    <w:lvl>
      <w:start w:val="2"/>
      <w:numFmt w:val="decimal"/>
      <w:suff w:val="tab"/>
      <w:lvlText w:val="%1."/>
      <w:rPr>
        <w:color w:val="3370ff"/>
      </w:rPr>
    </w:lvl>
  </w:abstractNum>
  <w:abstractNum w:abstractNumId="595744">
    <w:lvl>
      <w:numFmt w:val="bullet"/>
      <w:suff w:val="tab"/>
      <w:lvlText w:val="￮"/>
      <w:rPr>
        <w:color w:val="3370ff"/>
      </w:rPr>
    </w:lvl>
  </w:abstractNum>
  <w:abstractNum w:abstractNumId="595745">
    <w:lvl>
      <w:numFmt w:val="bullet"/>
      <w:suff w:val="tab"/>
      <w:lvlText w:val="￮"/>
      <w:rPr>
        <w:color w:val="3370ff"/>
      </w:rPr>
    </w:lvl>
  </w:abstractNum>
  <w:abstractNum w:abstractNumId="595746">
    <w:lvl>
      <w:start w:val="3"/>
      <w:numFmt w:val="decimal"/>
      <w:suff w:val="tab"/>
      <w:lvlText w:val="%1."/>
      <w:rPr>
        <w:color w:val="3370ff"/>
      </w:rPr>
    </w:lvl>
  </w:abstractNum>
  <w:abstractNum w:abstractNumId="595747">
    <w:lvl>
      <w:numFmt w:val="bullet"/>
      <w:suff w:val="tab"/>
      <w:lvlText w:val="￮"/>
      <w:rPr>
        <w:color w:val="3370ff"/>
      </w:rPr>
    </w:lvl>
  </w:abstractNum>
  <w:abstractNum w:abstractNumId="595748">
    <w:lvl>
      <w:numFmt w:val="bullet"/>
      <w:suff w:val="tab"/>
      <w:lvlText w:val="￮"/>
      <w:rPr>
        <w:color w:val="3370ff"/>
      </w:rPr>
    </w:lvl>
  </w:abstractNum>
  <w:abstractNum w:abstractNumId="595749">
    <w:lvl>
      <w:numFmt w:val="bullet"/>
      <w:suff w:val="tab"/>
      <w:lvlText w:val="￮"/>
      <w:rPr>
        <w:color w:val="3370ff"/>
      </w:rPr>
    </w:lvl>
  </w:abstractNum>
  <w:abstractNum w:abstractNumId="595750">
    <w:lvl>
      <w:numFmt w:val="bullet"/>
      <w:suff w:val="tab"/>
      <w:lvlText w:val="•"/>
      <w:rPr>
        <w:color w:val="3370ff"/>
      </w:rPr>
    </w:lvl>
  </w:abstractNum>
  <w:abstractNum w:abstractNumId="595751">
    <w:lvl>
      <w:numFmt w:val="bullet"/>
      <w:suff w:val="tab"/>
      <w:lvlText w:val="•"/>
      <w:rPr>
        <w:color w:val="3370ff"/>
      </w:rPr>
    </w:lvl>
  </w:abstractNum>
  <w:abstractNum w:abstractNumId="595752">
    <w:lvl>
      <w:numFmt w:val="bullet"/>
      <w:suff w:val="tab"/>
      <w:lvlText w:val="•"/>
      <w:rPr>
        <w:color w:val="3370ff"/>
      </w:rPr>
    </w:lvl>
  </w:abstractNum>
  <w:abstractNum w:abstractNumId="595753">
    <w:lvl>
      <w:numFmt w:val="bullet"/>
      <w:suff w:val="tab"/>
      <w:lvlText w:val="•"/>
      <w:rPr>
        <w:color w:val="3370ff"/>
      </w:rPr>
    </w:lvl>
  </w:abstractNum>
  <w:abstractNum w:abstractNumId="595754">
    <w:lvl>
      <w:numFmt w:val="bullet"/>
      <w:suff w:val="tab"/>
      <w:lvlText w:val="•"/>
      <w:rPr>
        <w:color w:val="3370ff"/>
      </w:rPr>
    </w:lvl>
  </w:abstractNum>
  <w:abstractNum w:abstractNumId="595755">
    <w:lvl>
      <w:numFmt w:val="bullet"/>
      <w:suff w:val="tab"/>
      <w:lvlText w:val="•"/>
      <w:rPr>
        <w:color w:val="3370ff"/>
      </w:rPr>
    </w:lvl>
  </w:abstractNum>
  <w:abstractNum w:abstractNumId="595756">
    <w:lvl>
      <w:numFmt w:val="bullet"/>
      <w:suff w:val="tab"/>
      <w:lvlText w:val="•"/>
      <w:rPr>
        <w:color w:val="3370ff"/>
      </w:rPr>
    </w:lvl>
  </w:abstractNum>
  <w:abstractNum w:abstractNumId="595757">
    <w:lvl>
      <w:numFmt w:val="bullet"/>
      <w:suff w:val="tab"/>
      <w:lvlText w:val="•"/>
      <w:rPr>
        <w:color w:val="3370ff"/>
      </w:rPr>
    </w:lvl>
  </w:abstractNum>
  <w:abstractNum w:abstractNumId="595758">
    <w:lvl>
      <w:numFmt w:val="bullet"/>
      <w:suff w:val="tab"/>
      <w:lvlText w:val="•"/>
      <w:rPr>
        <w:color w:val="3370ff"/>
      </w:rPr>
    </w:lvl>
  </w:abstractNum>
  <w:abstractNum w:abstractNumId="595759">
    <w:lvl>
      <w:numFmt w:val="bullet"/>
      <w:suff w:val="tab"/>
      <w:lvlText w:val="•"/>
      <w:rPr>
        <w:color w:val="3370ff"/>
      </w:rPr>
    </w:lvl>
  </w:abstractNum>
  <w:abstractNum w:abstractNumId="595760">
    <w:lvl>
      <w:numFmt w:val="bullet"/>
      <w:suff w:val="tab"/>
      <w:lvlText w:val="•"/>
      <w:rPr>
        <w:color w:val="3370ff"/>
      </w:rPr>
    </w:lvl>
  </w:abstractNum>
  <w:abstractNum w:abstractNumId="595761">
    <w:lvl>
      <w:start w:val="1"/>
      <w:numFmt w:val="decimal"/>
      <w:suff w:val="tab"/>
      <w:lvlText w:val="%1."/>
      <w:rPr>
        <w:color w:val="3370ff"/>
      </w:rPr>
    </w:lvl>
  </w:abstractNum>
  <w:abstractNum w:abstractNumId="595762">
    <w:lvl>
      <w:start w:val="2"/>
      <w:numFmt w:val="decimal"/>
      <w:suff w:val="tab"/>
      <w:lvlText w:val="%1."/>
      <w:rPr>
        <w:color w:val="3370ff"/>
      </w:rPr>
    </w:lvl>
  </w:abstractNum>
  <w:abstractNum w:abstractNumId="595763">
    <w:lvl>
      <w:start w:val="3"/>
      <w:numFmt w:val="decimal"/>
      <w:suff w:val="tab"/>
      <w:lvlText w:val="%1."/>
      <w:rPr>
        <w:color w:val="3370ff"/>
      </w:rPr>
    </w:lvl>
  </w:abstractNum>
  <w:abstractNum w:abstractNumId="595764">
    <w:lvl>
      <w:start w:val="4"/>
      <w:numFmt w:val="decimal"/>
      <w:suff w:val="tab"/>
      <w:lvlText w:val="%1."/>
      <w:rPr>
        <w:color w:val="3370ff"/>
      </w:rPr>
    </w:lvl>
  </w:abstractNum>
  <w:abstractNum w:abstractNumId="595765">
    <w:lvl>
      <w:numFmt w:val="bullet"/>
      <w:suff w:val="tab"/>
      <w:lvlText w:val="•"/>
      <w:rPr>
        <w:color w:val="3370ff"/>
      </w:rPr>
    </w:lvl>
  </w:abstractNum>
  <w:abstractNum w:abstractNumId="595766">
    <w:lvl>
      <w:numFmt w:val="bullet"/>
      <w:suff w:val="tab"/>
      <w:lvlText w:val="•"/>
      <w:rPr>
        <w:color w:val="3370ff"/>
      </w:rPr>
    </w:lvl>
  </w:abstractNum>
  <w:abstractNum w:abstractNumId="595767">
    <w:lvl>
      <w:numFmt w:val="bullet"/>
      <w:suff w:val="tab"/>
      <w:lvlText w:val="•"/>
      <w:rPr>
        <w:color w:val="3370ff"/>
      </w:rPr>
    </w:lvl>
  </w:abstractNum>
  <w:abstractNum w:abstractNumId="595768">
    <w:lvl>
      <w:numFmt w:val="bullet"/>
      <w:suff w:val="tab"/>
      <w:lvlText w:val="•"/>
      <w:rPr>
        <w:color w:val="3370ff"/>
      </w:rPr>
    </w:lvl>
  </w:abstractNum>
  <w:abstractNum w:abstractNumId="595769">
    <w:lvl>
      <w:numFmt w:val="bullet"/>
      <w:suff w:val="tab"/>
      <w:lvlText w:val="•"/>
      <w:rPr>
        <w:color w:val="3370ff"/>
      </w:rPr>
    </w:lvl>
  </w:abstractNum>
  <w:abstractNum w:abstractNumId="595770">
    <w:lvl>
      <w:numFmt w:val="bullet"/>
      <w:suff w:val="tab"/>
      <w:lvlText w:val="•"/>
      <w:rPr>
        <w:color w:val="3370ff"/>
      </w:rPr>
    </w:lvl>
  </w:abstractNum>
  <w:abstractNum w:abstractNumId="595771">
    <w:lvl>
      <w:numFmt w:val="bullet"/>
      <w:suff w:val="tab"/>
      <w:lvlText w:val="•"/>
      <w:rPr>
        <w:color w:val="3370ff"/>
      </w:rPr>
    </w:lvl>
  </w:abstractNum>
  <w:abstractNum w:abstractNumId="595772">
    <w:lvl>
      <w:start w:val="1"/>
      <w:numFmt w:val="decimal"/>
      <w:suff w:val="tab"/>
      <w:lvlText w:val="%1."/>
      <w:rPr>
        <w:color w:val="3370ff"/>
      </w:rPr>
    </w:lvl>
  </w:abstractNum>
  <w:abstractNum w:abstractNumId="595773">
    <w:lvl>
      <w:numFmt w:val="bullet"/>
      <w:suff w:val="tab"/>
      <w:lvlText w:val="￮"/>
      <w:rPr>
        <w:color w:val="3370ff"/>
      </w:rPr>
    </w:lvl>
  </w:abstractNum>
  <w:abstractNum w:abstractNumId="595774">
    <w:lvl>
      <w:numFmt w:val="bullet"/>
      <w:suff w:val="tab"/>
      <w:lvlText w:val="￮"/>
      <w:rPr>
        <w:color w:val="3370ff"/>
      </w:rPr>
    </w:lvl>
  </w:abstractNum>
  <w:abstractNum w:abstractNumId="595775">
    <w:lvl>
      <w:start w:val="2"/>
      <w:numFmt w:val="decimal"/>
      <w:suff w:val="tab"/>
      <w:lvlText w:val="%1."/>
      <w:rPr>
        <w:color w:val="3370ff"/>
      </w:rPr>
    </w:lvl>
  </w:abstractNum>
  <w:abstractNum w:abstractNumId="595776">
    <w:lvl>
      <w:numFmt w:val="bullet"/>
      <w:suff w:val="tab"/>
      <w:lvlText w:val="￮"/>
      <w:rPr>
        <w:color w:val="3370ff"/>
      </w:rPr>
    </w:lvl>
  </w:abstractNum>
  <w:abstractNum w:abstractNumId="595777">
    <w:lvl>
      <w:numFmt w:val="bullet"/>
      <w:suff w:val="tab"/>
      <w:lvlText w:val="￮"/>
      <w:rPr>
        <w:color w:val="3370ff"/>
      </w:rPr>
    </w:lvl>
  </w:abstractNum>
  <w:abstractNum w:abstractNumId="595778">
    <w:lvl>
      <w:start w:val="3"/>
      <w:numFmt w:val="decimal"/>
      <w:suff w:val="tab"/>
      <w:lvlText w:val="%1."/>
      <w:rPr>
        <w:color w:val="3370ff"/>
      </w:rPr>
    </w:lvl>
  </w:abstractNum>
  <w:abstractNum w:abstractNumId="595779">
    <w:lvl>
      <w:numFmt w:val="bullet"/>
      <w:suff w:val="tab"/>
      <w:lvlText w:val="￮"/>
      <w:rPr>
        <w:color w:val="3370ff"/>
      </w:rPr>
    </w:lvl>
  </w:abstractNum>
  <w:abstractNum w:abstractNumId="595780">
    <w:lvl>
      <w:numFmt w:val="bullet"/>
      <w:suff w:val="tab"/>
      <w:lvlText w:val="•"/>
      <w:rPr>
        <w:color w:val="3370ff"/>
      </w:rPr>
    </w:lvl>
  </w:abstractNum>
  <w:abstractNum w:abstractNumId="595781">
    <w:lvl>
      <w:numFmt w:val="bullet"/>
      <w:suff w:val="tab"/>
      <w:lvlText w:val="•"/>
      <w:rPr>
        <w:color w:val="3370ff"/>
      </w:rPr>
    </w:lvl>
  </w:abstractNum>
  <w:abstractNum w:abstractNumId="595782">
    <w:lvl>
      <w:numFmt w:val="bullet"/>
      <w:suff w:val="tab"/>
      <w:lvlText w:val="•"/>
      <w:rPr>
        <w:color w:val="3370ff"/>
      </w:rPr>
    </w:lvl>
  </w:abstractNum>
  <w:abstractNum w:abstractNumId="595783">
    <w:lvl>
      <w:numFmt w:val="bullet"/>
      <w:suff w:val="tab"/>
      <w:lvlText w:val="•"/>
      <w:rPr>
        <w:color w:val="3370ff"/>
      </w:rPr>
    </w:lvl>
  </w:abstractNum>
  <w:abstractNum w:abstractNumId="595784">
    <w:lvl>
      <w:numFmt w:val="bullet"/>
      <w:suff w:val="tab"/>
      <w:lvlText w:val="•"/>
      <w:rPr>
        <w:color w:val="3370ff"/>
      </w:rPr>
    </w:lvl>
  </w:abstractNum>
  <w:abstractNum w:abstractNumId="595785">
    <w:lvl>
      <w:numFmt w:val="bullet"/>
      <w:suff w:val="tab"/>
      <w:lvlText w:val="•"/>
      <w:rPr>
        <w:color w:val="3370ff"/>
      </w:rPr>
    </w:lvl>
  </w:abstractNum>
  <w:abstractNum w:abstractNumId="595786">
    <w:lvl>
      <w:numFmt w:val="bullet"/>
      <w:suff w:val="tab"/>
      <w:lvlText w:val="•"/>
      <w:rPr>
        <w:color w:val="3370ff"/>
      </w:rPr>
    </w:lvl>
  </w:abstractNum>
  <w:abstractNum w:abstractNumId="595787">
    <w:lvl>
      <w:numFmt w:val="bullet"/>
      <w:suff w:val="tab"/>
      <w:lvlText w:val="•"/>
      <w:rPr>
        <w:color w:val="3370ff"/>
      </w:rPr>
    </w:lvl>
  </w:abstractNum>
  <w:abstractNum w:abstractNumId="595788">
    <w:lvl>
      <w:numFmt w:val="bullet"/>
      <w:suff w:val="tab"/>
      <w:lvlText w:val="•"/>
      <w:rPr>
        <w:color w:val="3370ff"/>
      </w:rPr>
    </w:lvl>
  </w:abstractNum>
  <w:abstractNum w:abstractNumId="595789">
    <w:lvl>
      <w:numFmt w:val="bullet"/>
      <w:suff w:val="tab"/>
      <w:lvlText w:val="•"/>
      <w:rPr>
        <w:color w:val="3370ff"/>
      </w:rPr>
    </w:lvl>
  </w:abstractNum>
  <w:abstractNum w:abstractNumId="595790">
    <w:lvl>
      <w:numFmt w:val="bullet"/>
      <w:suff w:val="tab"/>
      <w:lvlText w:val="•"/>
      <w:rPr>
        <w:color w:val="3370ff"/>
      </w:rPr>
    </w:lvl>
  </w:abstractNum>
  <w:num w:numId="1">
    <w:abstractNumId w:val="595690"/>
  </w:num>
  <w:num w:numId="2">
    <w:abstractNumId w:val="595691"/>
  </w:num>
  <w:num w:numId="3">
    <w:abstractNumId w:val="595692"/>
  </w:num>
  <w:num w:numId="4">
    <w:abstractNumId w:val="595693"/>
  </w:num>
  <w:num w:numId="5">
    <w:abstractNumId w:val="595694"/>
  </w:num>
  <w:num w:numId="6">
    <w:abstractNumId w:val="595695"/>
  </w:num>
  <w:num w:numId="7">
    <w:abstractNumId w:val="595696"/>
  </w:num>
  <w:num w:numId="8">
    <w:abstractNumId w:val="595697"/>
  </w:num>
  <w:num w:numId="9">
    <w:abstractNumId w:val="595698"/>
  </w:num>
  <w:num w:numId="10">
    <w:abstractNumId w:val="595699"/>
  </w:num>
  <w:num w:numId="11">
    <w:abstractNumId w:val="595700"/>
  </w:num>
  <w:num w:numId="12">
    <w:abstractNumId w:val="595701"/>
  </w:num>
  <w:num w:numId="13">
    <w:abstractNumId w:val="595702"/>
  </w:num>
  <w:num w:numId="14">
    <w:abstractNumId w:val="595703"/>
  </w:num>
  <w:num w:numId="15">
    <w:abstractNumId w:val="595704"/>
  </w:num>
  <w:num w:numId="16">
    <w:abstractNumId w:val="595705"/>
  </w:num>
  <w:num w:numId="17">
    <w:abstractNumId w:val="595706"/>
  </w:num>
  <w:num w:numId="18">
    <w:abstractNumId w:val="595707"/>
  </w:num>
  <w:num w:numId="19">
    <w:abstractNumId w:val="595708"/>
  </w:num>
  <w:num w:numId="20">
    <w:abstractNumId w:val="595709"/>
  </w:num>
  <w:num w:numId="21">
    <w:abstractNumId w:val="595710"/>
  </w:num>
  <w:num w:numId="22">
    <w:abstractNumId w:val="595711"/>
  </w:num>
  <w:num w:numId="23">
    <w:abstractNumId w:val="595712"/>
  </w:num>
  <w:num w:numId="24">
    <w:abstractNumId w:val="595713"/>
  </w:num>
  <w:num w:numId="25">
    <w:abstractNumId w:val="595714"/>
  </w:num>
  <w:num w:numId="26">
    <w:abstractNumId w:val="595715"/>
  </w:num>
  <w:num w:numId="27">
    <w:abstractNumId w:val="595716"/>
  </w:num>
  <w:num w:numId="28">
    <w:abstractNumId w:val="595717"/>
  </w:num>
  <w:num w:numId="29">
    <w:abstractNumId w:val="595718"/>
  </w:num>
  <w:num w:numId="30">
    <w:abstractNumId w:val="595719"/>
  </w:num>
  <w:num w:numId="31">
    <w:abstractNumId w:val="595720"/>
  </w:num>
  <w:num w:numId="32">
    <w:abstractNumId w:val="595721"/>
  </w:num>
  <w:num w:numId="33">
    <w:abstractNumId w:val="595722"/>
  </w:num>
  <w:num w:numId="34">
    <w:abstractNumId w:val="595723"/>
  </w:num>
  <w:num w:numId="35">
    <w:abstractNumId w:val="595724"/>
  </w:num>
  <w:num w:numId="36">
    <w:abstractNumId w:val="595725"/>
  </w:num>
  <w:num w:numId="37">
    <w:abstractNumId w:val="595726"/>
  </w:num>
  <w:num w:numId="38">
    <w:abstractNumId w:val="595727"/>
  </w:num>
  <w:num w:numId="39">
    <w:abstractNumId w:val="595728"/>
  </w:num>
  <w:num w:numId="40">
    <w:abstractNumId w:val="595729"/>
  </w:num>
  <w:num w:numId="41">
    <w:abstractNumId w:val="595730"/>
  </w:num>
  <w:num w:numId="42">
    <w:abstractNumId w:val="595731"/>
  </w:num>
  <w:num w:numId="43">
    <w:abstractNumId w:val="595732"/>
  </w:num>
  <w:num w:numId="44">
    <w:abstractNumId w:val="595733"/>
  </w:num>
  <w:num w:numId="45">
    <w:abstractNumId w:val="595734"/>
  </w:num>
  <w:num w:numId="46">
    <w:abstractNumId w:val="595735"/>
  </w:num>
  <w:num w:numId="47">
    <w:abstractNumId w:val="595736"/>
  </w:num>
  <w:num w:numId="48">
    <w:abstractNumId w:val="595737"/>
  </w:num>
  <w:num w:numId="49">
    <w:abstractNumId w:val="595738"/>
  </w:num>
  <w:num w:numId="50">
    <w:abstractNumId w:val="595739"/>
  </w:num>
  <w:num w:numId="51">
    <w:abstractNumId w:val="595740"/>
  </w:num>
  <w:num w:numId="52">
    <w:abstractNumId w:val="595741"/>
  </w:num>
  <w:num w:numId="53">
    <w:abstractNumId w:val="595742"/>
  </w:num>
  <w:num w:numId="54">
    <w:abstractNumId w:val="595743"/>
  </w:num>
  <w:num w:numId="55">
    <w:abstractNumId w:val="595744"/>
  </w:num>
  <w:num w:numId="56">
    <w:abstractNumId w:val="595745"/>
  </w:num>
  <w:num w:numId="57">
    <w:abstractNumId w:val="595746"/>
  </w:num>
  <w:num w:numId="58">
    <w:abstractNumId w:val="595747"/>
  </w:num>
  <w:num w:numId="59">
    <w:abstractNumId w:val="595748"/>
  </w:num>
  <w:num w:numId="60">
    <w:abstractNumId w:val="595749"/>
  </w:num>
  <w:num w:numId="61">
    <w:abstractNumId w:val="595750"/>
  </w:num>
  <w:num w:numId="62">
    <w:abstractNumId w:val="595751"/>
  </w:num>
  <w:num w:numId="63">
    <w:abstractNumId w:val="595752"/>
  </w:num>
  <w:num w:numId="64">
    <w:abstractNumId w:val="595753"/>
  </w:num>
  <w:num w:numId="65">
    <w:abstractNumId w:val="595754"/>
  </w:num>
  <w:num w:numId="66">
    <w:abstractNumId w:val="595755"/>
  </w:num>
  <w:num w:numId="67">
    <w:abstractNumId w:val="595756"/>
  </w:num>
  <w:num w:numId="68">
    <w:abstractNumId w:val="595757"/>
  </w:num>
  <w:num w:numId="69">
    <w:abstractNumId w:val="595758"/>
  </w:num>
  <w:num w:numId="70">
    <w:abstractNumId w:val="595759"/>
  </w:num>
  <w:num w:numId="71">
    <w:abstractNumId w:val="595760"/>
  </w:num>
  <w:num w:numId="72">
    <w:abstractNumId w:val="595761"/>
  </w:num>
  <w:num w:numId="73">
    <w:abstractNumId w:val="595762"/>
  </w:num>
  <w:num w:numId="74">
    <w:abstractNumId w:val="595763"/>
  </w:num>
  <w:num w:numId="75">
    <w:abstractNumId w:val="595764"/>
  </w:num>
  <w:num w:numId="76">
    <w:abstractNumId w:val="595765"/>
  </w:num>
  <w:num w:numId="77">
    <w:abstractNumId w:val="595766"/>
  </w:num>
  <w:num w:numId="78">
    <w:abstractNumId w:val="595767"/>
  </w:num>
  <w:num w:numId="79">
    <w:abstractNumId w:val="595768"/>
  </w:num>
  <w:num w:numId="80">
    <w:abstractNumId w:val="595769"/>
  </w:num>
  <w:num w:numId="81">
    <w:abstractNumId w:val="595770"/>
  </w:num>
  <w:num w:numId="82">
    <w:abstractNumId w:val="595771"/>
  </w:num>
  <w:num w:numId="83">
    <w:abstractNumId w:val="595772"/>
  </w:num>
  <w:num w:numId="84">
    <w:abstractNumId w:val="595773"/>
  </w:num>
  <w:num w:numId="85">
    <w:abstractNumId w:val="595774"/>
  </w:num>
  <w:num w:numId="86">
    <w:abstractNumId w:val="595775"/>
  </w:num>
  <w:num w:numId="87">
    <w:abstractNumId w:val="595776"/>
  </w:num>
  <w:num w:numId="88">
    <w:abstractNumId w:val="595777"/>
  </w:num>
  <w:num w:numId="89">
    <w:abstractNumId w:val="595778"/>
  </w:num>
  <w:num w:numId="90">
    <w:abstractNumId w:val="595779"/>
  </w:num>
  <w:num w:numId="91">
    <w:abstractNumId w:val="595780"/>
  </w:num>
  <w:num w:numId="92">
    <w:abstractNumId w:val="595781"/>
  </w:num>
  <w:num w:numId="93">
    <w:abstractNumId w:val="595782"/>
  </w:num>
  <w:num w:numId="94">
    <w:abstractNumId w:val="595783"/>
  </w:num>
  <w:num w:numId="95">
    <w:abstractNumId w:val="595784"/>
  </w:num>
  <w:num w:numId="96">
    <w:abstractNumId w:val="595785"/>
  </w:num>
  <w:num w:numId="97">
    <w:abstractNumId w:val="595786"/>
  </w:num>
  <w:num w:numId="98">
    <w:abstractNumId w:val="595787"/>
  </w:num>
  <w:num w:numId="99">
    <w:abstractNumId w:val="595788"/>
  </w:num>
  <w:num w:numId="100">
    <w:abstractNumId w:val="595789"/>
  </w:num>
  <w:num w:numId="101">
    <w:abstractNumId w:val="595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2.png" Type="http://schemas.openxmlformats.org/officeDocument/2006/relationships/image"/><Relationship Id="rId12" Target="embeddings/Microsoft_Excel_Worksheet3.xlsx" Type="http://schemas.openxmlformats.org/officeDocument/2006/relationships/package"/><Relationship Id="rId13" Target="media/image3.png" Type="http://schemas.openxmlformats.org/officeDocument/2006/relationships/image"/><Relationship Id="rId14" Target="embeddings/Microsoft_Excel_Worksheet4.xlsx" Type="http://schemas.openxmlformats.org/officeDocument/2006/relationships/package"/><Relationship Id="rId15" Target="media/image4.png" Type="http://schemas.openxmlformats.org/officeDocument/2006/relationships/image"/><Relationship Id="rId16" Target="embeddings/Microsoft_Excel_Worksheet5.xlsx" Type="http://schemas.openxmlformats.org/officeDocument/2006/relationships/package"/><Relationship Id="rId17" Target="media/image5.png" Type="http://schemas.openxmlformats.org/officeDocument/2006/relationships/image"/><Relationship Id="rId18" Target="https://www.marketresearchfuture.com/reports/china-cloud-ai-market-59202?utm_source=chatgpt.com" TargetMode="External" Type="http://schemas.openxmlformats.org/officeDocument/2006/relationships/hyperlink"/><Relationship Id="rId19" Target="embeddings/Microsoft_Excel_Worksheet6.xlsx" Type="http://schemas.openxmlformats.org/officeDocument/2006/relationships/package"/><Relationship Id="rId2" Target="styles.xml" Type="http://schemas.openxmlformats.org/officeDocument/2006/relationships/styles"/><Relationship Id="rId20" Target="media/image6.png" Type="http://schemas.openxmlformats.org/officeDocument/2006/relationships/image"/><Relationship Id="rId21" Target="embeddings/Microsoft_Excel_Worksheet7.xlsx" Type="http://schemas.openxmlformats.org/officeDocument/2006/relationships/package"/><Relationship Id="rId22" Target="media/image7.png" Type="http://schemas.openxmlformats.org/officeDocument/2006/relationships/image"/><Relationship Id="rId23" Target="embeddings/Microsoft_Excel_Worksheet8.xlsx" Type="http://schemas.openxmlformats.org/officeDocument/2006/relationships/package"/><Relationship Id="rId24" Target="media/image8.png" Type="http://schemas.openxmlformats.org/officeDocument/2006/relationships/image"/><Relationship Id="rId25" Target="embeddings/Microsoft_Excel_Worksheet9.xlsx" Type="http://schemas.openxmlformats.org/officeDocument/2006/relationships/package"/><Relationship Id="rId26" Target="media/image9.png" Type="http://schemas.openxmlformats.org/officeDocument/2006/relationships/image"/><Relationship Id="rId27" Target="embeddings/Microsoft_Excel_Worksheet10.xlsx" Type="http://schemas.openxmlformats.org/officeDocument/2006/relationships/package"/><Relationship Id="rId28" Target="media/image10.png" Type="http://schemas.openxmlformats.org/officeDocument/2006/relationships/image"/><Relationship Id="rId29" Target="embeddings/Microsoft_Excel_Worksheet11.xlsx" Type="http://schemas.openxmlformats.org/officeDocument/2006/relationships/package"/><Relationship Id="rId3" Target="footer1.xml" Type="http://schemas.openxmlformats.org/officeDocument/2006/relationships/footer"/><Relationship Id="rId30" Target="media/image11.png" Type="http://schemas.openxmlformats.org/officeDocument/2006/relationships/image"/><Relationship Id="rId31" Target="https://m.36kr.com/p/3616263140312320?utm_source=chatgpt.com" TargetMode="External" Type="http://schemas.openxmlformats.org/officeDocument/2006/relationships/hyperlink"/><Relationship Id="rId32" Target="https://www.pingwest.com/a/308995?utm_source=chatgpt.com" TargetMode="External" Type="http://schemas.openxmlformats.org/officeDocument/2006/relationships/hyperlink"/><Relationship Id="rId33" Target="embeddings/Microsoft_Excel_Worksheet12.xlsx" Type="http://schemas.openxmlformats.org/officeDocument/2006/relationships/package"/><Relationship Id="rId34" Target="media/image12.png" Type="http://schemas.openxmlformats.org/officeDocument/2006/relationships/image"/><Relationship Id="rId35" Target="embeddings/Microsoft_Excel_Worksheet13.xlsx" Type="http://schemas.openxmlformats.org/officeDocument/2006/relationships/package"/><Relationship Id="rId36" Target="media/image13.png" Type="http://schemas.openxmlformats.org/officeDocument/2006/relationships/image"/><Relationship Id="rId37" Target="https://www.linkedin.com/pulse/china-enterprise-cloud-services-market-scope-2025-by-g7ijf/?utm_source=chatgpt.com" TargetMode="External" Type="http://schemas.openxmlformats.org/officeDocument/2006/relationships/hyperlink"/><Relationship Id="rId38" Target="https://m.36kr.com/p/3616263140312320?utm_source=chatgpt.com" TargetMode="External" Type="http://schemas.openxmlformats.org/officeDocument/2006/relationships/hyperlink"/><Relationship Id="rId39" Target="https://www.pingwest.com/a/308995?utm_source=chatgpt.com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www.teksystems.com/en-cn/insights/it-market-trends-cn-2025?utm_source=chatgpt.com" TargetMode="External" Type="http://schemas.openxmlformats.org/officeDocument/2006/relationships/hyperlink"/><Relationship Id="rId41" Target="https://www.fortunebusinessinsights.com/china-artificial-intelligence-market-113974?utm_source=chatgpt.com" TargetMode="External" Type="http://schemas.openxmlformats.org/officeDocument/2006/relationships/hyperlink"/><Relationship Id="rId42" Target="https://www.reuters.com/technology/artificial-intelligence/alibaba-invest-more-than-52-billion-ai-over-next-3-years-2025-02-24/?utm_source=chatgpt.com" TargetMode="External" Type="http://schemas.openxmlformats.org/officeDocument/2006/relationships/hyperlink"/><Relationship Id="rId43" Target="https://apnews.com/article/eef3f9622961757b4fee9353d9fd3c76?utm_source=chatgpt.com" TargetMode="External" Type="http://schemas.openxmlformats.org/officeDocument/2006/relationships/hyperlink"/><Relationship Id="rId44" Target="embeddings/Microsoft_Excel_Worksheet14.xlsx" Type="http://schemas.openxmlformats.org/officeDocument/2006/relationships/package"/><Relationship Id="rId45" Target="media/image14.png" Type="http://schemas.openxmlformats.org/officeDocument/2006/relationships/image"/><Relationship Id="rId46" Target="https://m.36kr.com/p/3616263140312320?utm_source=chatgpt.com" TargetMode="External" Type="http://schemas.openxmlformats.org/officeDocument/2006/relationships/hyperlink"/><Relationship Id="rId47" Target="https://www.reuters.com/technology/artificial-intelligence/alibaba-invest-more-than-52-billion-ai-over-next-3-years-2025-02-24/?utm_source=chatgpt.com" TargetMode="External" Type="http://schemas.openxmlformats.org/officeDocument/2006/relationships/hyperlink"/><Relationship Id="rId48" Target="https://apnews.com/article/eef3f9622961757b4fee9353d9fd3c76?utm_source=chatgpt.com" TargetMode="External" Type="http://schemas.openxmlformats.org/officeDocument/2006/relationships/hyperlink"/><Relationship Id="rId49" Target="https://m.ebrun.com/20251028/n-18110.html?utm_source=chatgpt.com" TargetMode="External" Type="http://schemas.openxmlformats.org/officeDocument/2006/relationships/hyperlink"/><Relationship Id="rId5" Target="https://www.grandviewresearch.com/horizon/outlook/software-as-a-service-saas-market/china?utm_source=chatgpt.com" TargetMode="External" Type="http://schemas.openxmlformats.org/officeDocument/2006/relationships/hyperlink"/><Relationship Id="rId50" Target="https://www.grandviewresearch.com/horizon/outlook/ai-data-center-market/china?utm_source=chatgpt.com" TargetMode="External" Type="http://schemas.openxmlformats.org/officeDocument/2006/relationships/hyperlink"/><Relationship Id="rId51" Target="embeddings/Microsoft_Excel_Worksheet15.xlsx" Type="http://schemas.openxmlformats.org/officeDocument/2006/relationships/package"/><Relationship Id="rId52" Target="media/image15.png" Type="http://schemas.openxmlformats.org/officeDocument/2006/relationships/image"/><Relationship Id="rId53" Target="embeddings/Microsoft_Excel_Worksheet16.xlsx" Type="http://schemas.openxmlformats.org/officeDocument/2006/relationships/package"/><Relationship Id="rId54" Target="media/image16.png" Type="http://schemas.openxmlformats.org/officeDocument/2006/relationships/image"/><Relationship Id="rId55" Target="https://sjj.sjz.gov.cn/columns/e25f5d77-da98-4157-945b-b393e8028c3e/202508/05/fbe04da7-2872-4708-bfbb-23e0a08e9a43.html?utm_source=chatgpt.com" TargetMode="External" Type="http://schemas.openxmlformats.org/officeDocument/2006/relationships/hyperlink"/><Relationship Id="rId56" Target="header1.xml" Type="http://schemas.openxmlformats.org/officeDocument/2006/relationships/header"/><Relationship Id="rId6" Target="https://cj.sina.cn/articles/view/5953740931/162dee08306701ze2g?froms=ggmp&amp;utm_source=chatgpt.com" TargetMode="External" Type="http://schemas.openxmlformats.org/officeDocument/2006/relationships/hyperlink"/><Relationship Id="rId7" Target="https://sjj.sjz.gov.cn/columns/e25f5d77-da98-4157-945b-b393e8028c3e/202508/05/fbe04da7-2872-4708-bfbb-23e0a08e9a43.html?utm_source=chatgpt.com" TargetMode="External" Type="http://schemas.openxmlformats.org/officeDocument/2006/relationships/hyperlink"/><Relationship Id="rId8" Target="embeddings/Microsoft_Excel_Worksheet1.xlsx" Type="http://schemas.openxmlformats.org/officeDocument/2006/relationships/package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2026-03-24T07:44:15Z</dcterms:created>
  <dc:creator>Apache POI</dc:creator>
</cp:coreProperties>
</file>