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pPr>
      <w:r>
        <w:rPr>
          <w:rFonts w:ascii="맑은 고딕" w:hAnsi="맑은 고딕" w:eastAsia="맑은 고딕"/>
          <w:b/>
          <w:i w:val="0"/>
          <w:sz w:val="30"/>
        </w:rPr>
        <w:t>2022 개정 교육과정 고등학교 통합과학 — 교과서 탐구 분석 (통합과학 화학 영역)</w:t>
      </w:r>
    </w:p>
    <w:p>
      <w:r>
        <w:rPr>
          <w:rFonts w:ascii="맑은 고딕" w:hAnsi="맑은 고딕" w:eastAsia="맑은 고딕"/>
          <w:b w:val="0"/>
          <w:i w:val="0"/>
          <w:sz w:val="20"/>
        </w:rPr>
        <w:t>비상교육 교사용 · 미래엔 학생용 교과서 탐구 비교</w:t>
      </w:r>
    </w:p>
    <w:tbl>
      <w:tblPr>
        <w:tblStyle w:val="TableGrid"/>
        <w:tblW w:type="auto" w:w="0"/>
        <w:jc w:val="center"/>
        <w:tblLook w:firstColumn="1" w:firstRow="1" w:lastColumn="0" w:lastRow="0" w:noHBand="0" w:noVBand="1" w:val="04A0"/>
        <w:tblLayout w:type="fixed"/>
      </w:tblPr>
      <w:tblGrid>
        <w:gridCol w:w="1814"/>
        <w:gridCol w:w="13664"/>
      </w:tblGrid>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분석 범위</w:t>
            </w:r>
          </w:p>
        </w:tc>
        <w:tc>
          <w:tcPr>
            <w:tcW w:type="dxa" w:w="13663"/>
            <w:tcMar>
              <w:top w:w="22" w:type="dxa"/>
              <w:bottom w:w="22" w:type="dxa"/>
            </w:tcMar>
          </w:tcPr>
          <w:p>
            <w:r>
              <w:rPr>
                <w:rFonts w:ascii="맑은 고딕" w:hAnsi="맑은 고딕" w:eastAsia="맑은 고딕"/>
                <w:b w:val="0"/>
                <w:i w:val="0"/>
                <w:sz w:val="16"/>
              </w:rPr>
              <w:t>통합과학1 Ⅱ. 물질과 규칙성 [10통과1-02-03·04] (통합과학2 Ⅰ. 변화와 다양성은 미래엔 교과서 수신 후 추가)</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구성</w:t>
            </w:r>
          </w:p>
        </w:tc>
        <w:tc>
          <w:tcPr>
            <w:tcW w:type="dxa" w:w="13663"/>
            <w:tcMar>
              <w:top w:w="22" w:type="dxa"/>
              <w:bottom w:w="22" w:type="dxa"/>
            </w:tcMar>
          </w:tcPr>
          <w:p>
            <w:r>
              <w:rPr>
                <w:rFonts w:ascii="맑은 고딕" w:hAnsi="맑은 고딕" w:eastAsia="맑은 고딕"/>
                <w:b w:val="0"/>
                <w:i w:val="0"/>
                <w:sz w:val="16"/>
              </w:rPr>
              <w:t>단원마다: ① 교육과정 원문(성취기준·탐구 활동·해설·적용 시 고려 사항 전문) → ② 내용 요소 정리(원문 상 내용 요소·정의 요약·교과서 제시 위치·학습 위계)</w:t>
            </w:r>
          </w:p>
          <w:p>
            <w:r>
              <w:rPr>
                <w:rFonts w:ascii="맑은 고딕" w:hAnsi="맑은 고딕" w:eastAsia="맑은 고딕"/>
                <w:b w:val="0"/>
                <w:i w:val="0"/>
                <w:sz w:val="16"/>
              </w:rPr>
              <w:t>탐구마다: 탐구 목표·준비물 / 비상·미래엔 컷아웃 / 탐구 절차·정리 질문 / 기초·통합 탐구 요소 / 유용한 발문 / 주의점·체크리스트 / 성취기준 연결·타당성 / 핵심 개념 / 예상 오개념 → 교정 / 개념 설명 흐름</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탐구 요소 기준</w:t>
            </w:r>
          </w:p>
        </w:tc>
        <w:tc>
          <w:tcPr>
            <w:tcW w:type="dxa" w:w="13663"/>
            <w:tcMar>
              <w:top w:w="22" w:type="dxa"/>
              <w:bottom w:w="22" w:type="dxa"/>
            </w:tcMar>
          </w:tcPr>
          <w:p>
            <w:r>
              <w:rPr>
                <w:rFonts w:ascii="맑은 고딕" w:hAnsi="맑은 고딕" w:eastAsia="맑은 고딕"/>
                <w:b w:val="0"/>
                <w:i w:val="0"/>
                <w:sz w:val="16"/>
              </w:rPr>
              <w:t>기초 탐구 과정: 관찰 · 분류 · 측정 · 예상 · 추리 · 의사소통</w:t>
            </w:r>
          </w:p>
          <w:p>
            <w:r>
              <w:rPr>
                <w:rFonts w:ascii="맑은 고딕" w:hAnsi="맑은 고딕" w:eastAsia="맑은 고딕"/>
                <w:b w:val="0"/>
                <w:i w:val="0"/>
                <w:sz w:val="16"/>
              </w:rPr>
              <w:t>통합 탐구 과정: 문제 인식 · 가설 설정 · 변인 통제 · 자료 변환 · 자료 해석 · 결론 도출 · 일반화</w:t>
            </w:r>
          </w:p>
          <w:p>
            <w:r>
              <w:rPr>
                <w:rFonts w:ascii="맑은 고딕" w:hAnsi="맑은 고딕" w:eastAsia="맑은 고딕"/>
                <w:b w:val="0"/>
                <w:i w:val="0"/>
                <w:sz w:val="16"/>
              </w:rPr>
              <w:t>교과서 탐구 기능 표기(과학적 증거에 기반하여 주장하기, 모형 개발 및 이용하기 등)는 따로 적음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표기</w:t>
            </w:r>
          </w:p>
        </w:tc>
        <w:tc>
          <w:tcPr>
            <w:tcW w:type="dxa" w:w="13663"/>
            <w:tcMar>
              <w:top w:w="22" w:type="dxa"/>
              <w:bottom w:w="22" w:type="dxa"/>
            </w:tcMar>
          </w:tcPr>
          <w:p>
            <w:pPr>
              <w:ind w:left="170" w:hanging="170"/>
            </w:pPr>
            <w:r>
              <w:rPr>
                <w:rFonts w:ascii="맑은 고딕" w:hAnsi="맑은 고딕" w:eastAsia="맑은 고딕"/>
                <w:b/>
                <w:i w:val="0"/>
                <w:sz w:val="16"/>
              </w:rPr>
              <w:t xml:space="preserve">Q. </w:t>
            </w:r>
            <w:r>
              <w:rPr>
                <w:rFonts w:ascii="맑은 고딕" w:hAnsi="맑은 고딕" w:eastAsia="맑은 고딕"/>
                <w:b w:val="0"/>
                <w:i w:val="0"/>
                <w:sz w:val="16"/>
              </w:rPr>
              <w:t>발문 / A. 교과서 모범 답안 / ✔ 성취기준 충족 / △ 부족·보완점 / 굵은 글씨 = 교과서 간 차이·주의 / ▣ 회색 = 교과서에 해당 문장 없음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자료</w:t>
            </w:r>
          </w:p>
        </w:tc>
        <w:tc>
          <w:tcPr>
            <w:tcW w:type="dxa" w:w="13663"/>
            <w:tcMar>
              <w:top w:w="22" w:type="dxa"/>
              <w:bottom w:w="22" w:type="dxa"/>
            </w:tcMar>
          </w:tcPr>
          <w:p>
            <w:r>
              <w:rPr>
                <w:rFonts w:ascii="맑은 고딕" w:hAnsi="맑은 고딕" w:eastAsia="맑은 고딕"/>
                <w:b w:val="0"/>
                <w:i w:val="0"/>
                <w:sz w:val="16"/>
              </w:rPr>
              <w:t>교육과정: 2022 개정 과학과 교육과정(공통 과목 통합과학1·2)</w:t>
            </w:r>
          </w:p>
          <w:p>
            <w:r>
              <w:rPr>
                <w:rFonts w:ascii="맑은 고딕" w:hAnsi="맑은 고딕" w:eastAsia="맑은 고딕"/>
                <w:b w:val="0"/>
                <w:i w:val="0"/>
                <w:sz w:val="16"/>
              </w:rPr>
              <w:t>교과서: 비상교육 고등 통합과학1 교사용 교과서 Ⅱ-2(58~71쪽) / 미래엔 통합과학1 학생용 교과서 Ⅱ(56~73쪽)</w:t>
            </w:r>
          </w:p>
          <w:p>
            <w:r>
              <w:rPr>
                <w:rFonts w:ascii="맑은 고딕" w:hAnsi="맑은 고딕" w:eastAsia="맑은 고딕"/>
                <w:b w:val="0"/>
                <w:i w:val="0"/>
                <w:sz w:val="16"/>
              </w:rPr>
              <w:t>미래엔은 학생용이라 모범 답안 대신 본문 결론을 근거로 함(→ 본문:)</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통과1</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Ⅱ. 물질과 규칙성</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(2) 물질과 규칙성 — 교육과정 원문</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① 원문</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성취기준</w:t>
            </w:r>
          </w:p>
        </w:tc>
        <w:tc>
          <w:tcPr>
            <w:tcW w:type="dxa" w:w="14003"/>
            <w:tcMar>
              <w:top w:w="22" w:type="dxa"/>
              <w:bottom w:w="22" w:type="dxa"/>
            </w:tcMar>
          </w:tcPr>
          <w:p>
            <w:r>
              <w:rPr>
                <w:rFonts w:ascii="맑은 고딕" w:hAnsi="맑은 고딕" w:eastAsia="맑은 고딕"/>
                <w:b w:val="0"/>
                <w:i w:val="0"/>
                <w:sz w:val="16"/>
              </w:rPr>
              <w:t>[10통과1-02-01] 천체에서 방출되는 빛의 스펙트럼을 분석하여 우주 초기에 형성된 원소와 천체의 구성 물질을 추론할 수 있다.</w:t>
            </w:r>
          </w:p>
          <w:p>
            <w:r>
              <w:rPr>
                <w:rFonts w:ascii="맑은 고딕" w:hAnsi="맑은 고딕" w:eastAsia="맑은 고딕"/>
                <w:b w:val="0"/>
                <w:i w:val="0"/>
                <w:sz w:val="16"/>
              </w:rPr>
              <w:t>[10통과1-02-02] 우주 초기의 원소들로부터 태양계의 재료이면서 생명체를 구성하는 원소들이 형성되는 과정을 통해 지구와 생명의 역사가 우주 역사의 일부분임을 해석할 수 있다.</w:t>
            </w:r>
          </w:p>
          <w:p>
            <w:r>
              <w:rPr>
                <w:rFonts w:ascii="맑은 고딕" w:hAnsi="맑은 고딕" w:eastAsia="맑은 고딕"/>
                <w:b w:val="0"/>
                <w:i w:val="0"/>
                <w:sz w:val="16"/>
              </w:rPr>
              <w:t>[10통과1-02-03] 세상을 구성하는 원소들의 성질이 주기성을 나타내는 현상을 통해 자연의 규칙성을 도출하고, 지구와 생명체를 구성하는 주요 원소들이 결합을 형성하는 이유를 해석할 수 있다.</w:t>
            </w:r>
          </w:p>
          <w:p>
            <w:r>
              <w:rPr>
                <w:rFonts w:ascii="맑은 고딕" w:hAnsi="맑은 고딕" w:eastAsia="맑은 고딕"/>
                <w:b w:val="0"/>
                <w:i w:val="0"/>
                <w:sz w:val="16"/>
              </w:rPr>
              <w:t>[10통과1-02-04] 인류의 생존에 필수적인 물, 산소, 소금 등이 만들어지는 결합의 차이를 이해하고 각 물질의 성질과 관련지어 설명할 수 있다.</w:t>
            </w:r>
          </w:p>
          <w:p>
            <w:r>
              <w:rPr>
                <w:rFonts w:ascii="맑은 고딕" w:hAnsi="맑은 고딕" w:eastAsia="맑은 고딕"/>
                <w:b w:val="0"/>
                <w:i w:val="0"/>
                <w:sz w:val="16"/>
              </w:rPr>
              <w:t>[10통과1-02-05] 지각과 생명체를 구성하는 물질들이 기본 단위체의 결합을 통해서 형성된다는 것을 규산염 광물, 단백질과 핵산의 예를 통해 설명할 수 있다.</w:t>
            </w:r>
          </w:p>
          <w:p>
            <w:r>
              <w:rPr>
                <w:rFonts w:ascii="맑은 고딕" w:hAnsi="맑은 고딕" w:eastAsia="맑은 고딕"/>
                <w:b w:val="0"/>
                <w:i w:val="0"/>
                <w:sz w:val="16"/>
              </w:rPr>
              <w:t>[10통과1-02-06] 지구를 구성하는 물질을 전기적 성질에 따라 구분할 수 있고, 물질의 전기적 성질을 응용하여 일상생활과 첨단기술에서 다양한 소재로 활용됨을 인식한다.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w:t>
            </w:r>
          </w:p>
        </w:tc>
        <w:tc>
          <w:tcPr>
            <w:tcW w:type="dxa" w:w="14003"/>
            <w:tcMar>
              <w:top w:w="22" w:type="dxa"/>
              <w:bottom w:w="22" w:type="dxa"/>
            </w:tcMar>
          </w:tcPr>
          <w:p>
            <w:pPr>
              <w:ind w:left="170" w:hanging="170"/>
            </w:pPr>
            <w:r>
              <w:rPr>
                <w:rFonts w:ascii="맑은 고딕" w:hAnsi="맑은 고딕" w:eastAsia="맑은 고딕"/>
                <w:b w:val="0"/>
                <w:i w:val="0"/>
                <w:sz w:val="16"/>
              </w:rPr>
              <w:t>• 분광기를 활용하여 다양한 물질이 방출하는 스펙트럼을 관찰·비교하기</w:t>
            </w:r>
          </w:p>
          <w:p>
            <w:pPr>
              <w:ind w:left="170" w:hanging="170"/>
            </w:pPr>
            <w:r>
              <w:rPr>
                <w:rFonts w:ascii="맑은 고딕" w:hAnsi="맑은 고딕" w:eastAsia="맑은 고딕"/>
                <w:b w:val="0"/>
                <w:i w:val="0"/>
                <w:sz w:val="16"/>
              </w:rPr>
              <w:t>• 지구와 생명체의 구성 성분을 비교하여, 우주와 지구 역사를 통한 구성 성분의 유래 탐구하기</w:t>
            </w:r>
          </w:p>
          <w:p>
            <w:pPr>
              <w:ind w:left="170" w:hanging="170"/>
            </w:pPr>
            <w:r>
              <w:rPr>
                <w:rFonts w:ascii="맑은 고딕" w:hAnsi="맑은 고딕" w:eastAsia="맑은 고딕"/>
                <w:b w:val="0"/>
                <w:i w:val="0"/>
                <w:sz w:val="16"/>
              </w:rPr>
              <w:t>• 같은 족 원소들의 유사성을 탐구하는 실험 설계하기</w:t>
            </w:r>
          </w:p>
          <w:p>
            <w:pPr>
              <w:ind w:left="170" w:hanging="170"/>
            </w:pPr>
            <w:r>
              <w:rPr>
                <w:rFonts w:ascii="맑은 고딕" w:hAnsi="맑은 고딕" w:eastAsia="맑은 고딕"/>
                <w:b w:val="0"/>
                <w:i w:val="0"/>
                <w:sz w:val="16"/>
              </w:rPr>
              <w:t>• 이온 결합 화합물과 공유 결합 화합물의 성질을 비교하는 실험하기</w:t>
            </w:r>
          </w:p>
          <w:p>
            <w:pPr>
              <w:ind w:left="170" w:hanging="170"/>
            </w:pPr>
            <w:r>
              <w:rPr>
                <w:rFonts w:ascii="맑은 고딕" w:hAnsi="맑은 고딕" w:eastAsia="맑은 고딕"/>
                <w:b w:val="0"/>
                <w:i w:val="0"/>
                <w:sz w:val="16"/>
              </w:rPr>
              <w:t>• DNA 모형을 제작하고 DNA의 구조적 특징과 규칙성 탐구하기</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(가)</w:t>
              <w:br/>
              <w:t>성취기준 해설</w:t>
            </w:r>
          </w:p>
        </w:tc>
        <w:tc>
          <w:tcPr>
            <w:tcW w:type="dxa" w:w="14003"/>
            <w:tcMar>
              <w:top w:w="22" w:type="dxa"/>
              <w:bottom w:w="22" w:type="dxa"/>
            </w:tcMar>
          </w:tcPr>
          <w:p>
            <w:pPr>
              <w:ind w:left="170" w:hanging="170"/>
            </w:pPr>
            <w:r>
              <w:rPr>
                <w:rFonts w:ascii="맑은 고딕" w:hAnsi="맑은 고딕" w:eastAsia="맑은 고딕"/>
                <w:b w:val="0"/>
                <w:i w:val="0"/>
                <w:sz w:val="16"/>
              </w:rPr>
              <w:t>• [10통과1-02-01] 분광기를 활용하여 수소의 선스펙트럼을 관찰하고 이를 우주 전역의 선스펙트럼을 관찰한 결과 자료와 비교함으로써 우주 진화 초기에 만들어진 수소와 헬륨이 현재 우주의 주요 구성 원소임을 파악하게 한다.</w:t>
            </w:r>
          </w:p>
          <w:p>
            <w:pPr>
              <w:ind w:left="170" w:hanging="170"/>
            </w:pPr>
            <w:r>
              <w:rPr>
                <w:rFonts w:ascii="맑은 고딕" w:hAnsi="맑은 고딕" w:eastAsia="맑은 고딕"/>
                <w:b w:val="0"/>
                <w:i w:val="0"/>
                <w:sz w:val="16"/>
              </w:rPr>
              <w:t>• [10통과1-02-02] 별의 진화 과정에서 별 내부의 핵융합을 통해 탄소, 질소, 산소가 생성되는 것을 정성적으로 다루고, 초신성 폭발의 결과로 철보다 무거운 원소가 만들어짐을 다룬다.</w:t>
            </w:r>
          </w:p>
          <w:p>
            <w:pPr>
              <w:ind w:left="170" w:hanging="170"/>
            </w:pPr>
            <w:r>
              <w:rPr>
                <w:rFonts w:ascii="맑은 고딕" w:hAnsi="맑은 고딕" w:eastAsia="맑은 고딕"/>
                <w:b w:val="0"/>
                <w:i w:val="0"/>
                <w:sz w:val="16"/>
              </w:rPr>
              <w:t>• [10통과1-02-03] 주기율표의 1족과 17족 원소를 통해 동족 원소는 유사한 화학적 성질을 가진다는 것을 다룬다. 주요 원소들이 화학 결합을 형성하는 이유를 전자껍질 모형을 이용한 전자배치를 통해 안정성을 지닌 원소와 비교하여 설명한다.</w:t>
            </w:r>
          </w:p>
          <w:p>
            <w:pPr>
              <w:ind w:left="170" w:hanging="170"/>
            </w:pPr>
            <w:r>
              <w:rPr>
                <w:rFonts w:ascii="맑은 고딕" w:hAnsi="맑은 고딕" w:eastAsia="맑은 고딕"/>
                <w:b w:val="0"/>
                <w:i w:val="0"/>
                <w:sz w:val="16"/>
              </w:rPr>
              <w:t>• [10통과1-02-04] 각 화학 결합으로 나타나는 성질은 전기 전도성에 한정하여 다룬다.</w:t>
            </w:r>
          </w:p>
          <w:p>
            <w:pPr>
              <w:ind w:left="170" w:hanging="170"/>
            </w:pPr>
            <w:r>
              <w:rPr>
                <w:rFonts w:ascii="맑은 고딕" w:hAnsi="맑은 고딕" w:eastAsia="맑은 고딕"/>
                <w:b w:val="0"/>
                <w:i w:val="0"/>
                <w:sz w:val="16"/>
              </w:rPr>
              <w:t>• [10통과1-02-05] 지각을 구성하는 규산염 광물은 Si-O 사면체를 기본 골격으로 하여 다양한 광물들이 만들어짐을 다루되, 구체적인 구조식이나 화학식은 다루지 않는다. 일정한 구조를 가진 기본 단위체들의 다양한 배열을 통해 여러 가지 구조와 기능을 갖는 생명체의 주요 구성 물질이 생성될 수 있음을 단백질과 핵산을 중심으로 학습하고, 기본 단위체를 비롯한 단백질과 핵산의 구체적인 구조식이나 화학식은 다루지 않는다.</w:t>
            </w:r>
          </w:p>
          <w:p>
            <w:pPr>
              <w:ind w:left="170" w:hanging="170"/>
            </w:pPr>
            <w:r>
              <w:rPr>
                <w:rFonts w:ascii="맑은 고딕" w:hAnsi="맑은 고딕" w:eastAsia="맑은 고딕"/>
                <w:b w:val="0"/>
                <w:i w:val="0"/>
                <w:sz w:val="16"/>
              </w:rPr>
              <w:t>• [10통과1-02-06] 지구를 구성하는 여러 물질을 원자 내 자유전자의 이동에 따라 도체, 부도체, 반도체로 구분할 수 있고, 특히 규산염 광물이 반도체 소자의 재료가 되어 현대 사회에서 매우 유용하게 활용됨을 소개한다. 이때 반도체의 원리는 불순물을 추가함에 따라 전기적 성질을 제어하기 쉽다는 수준으로 소개하고 접합 원리는 다루지 않는다.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(나)</w:t>
              <w:br/>
              <w:t>성취기준 적용 시</w:t>
              <w:br/>
              <w:t>고려 사항</w:t>
            </w:r>
          </w:p>
        </w:tc>
        <w:tc>
          <w:tcPr>
            <w:tcW w:type="dxa" w:w="14003"/>
            <w:tcMar>
              <w:top w:w="22" w:type="dxa"/>
              <w:bottom w:w="22" w:type="dxa"/>
            </w:tcMar>
          </w:tcPr>
          <w:p>
            <w:pPr>
              <w:ind w:left="170" w:hanging="170"/>
            </w:pPr>
            <w:r>
              <w:rPr>
                <w:rFonts w:ascii="맑은 고딕" w:hAnsi="맑은 고딕" w:eastAsia="맑은 고딕"/>
                <w:b w:val="0"/>
                <w:i w:val="0"/>
                <w:sz w:val="16"/>
              </w:rPr>
              <w:t>• 중학교 1~3학년군의 ‘태양계’, ‘지권의 변화’, ‘생식과 유전’, ‘물질의 구성’, 고등학교 ‘물리학’의 빛과 물질, ‘전자기와 양자’의 양자와 미시세계, ‘화학’의 물질의 구조와 성질, ‘생명과학’의 생명의 연속성과 다양성, ‘생물의 유전’의 유전자와 유전물질, ‘지구과학’의 지구의 역사와 한반도의 암석, ‘지구시스템과학’의 지구 탄생과 생동하는 지구, ‘행성우주과학’의 태양과 별의 관측과 연계된다.</w:t>
            </w:r>
          </w:p>
        </w:tc>
      </w:tr>
    </w:tbl>
    <w:p>
      <w:pPr>
        <w:keepNext/>
        <w:spacing w:before="120" w:after="40"/>
      </w:pPr>
      <w:r>
        <w:rPr>
          <w:rFonts w:ascii="맑은 고딕" w:hAnsi="맑은 고딕" w:eastAsia="맑은 고딕"/>
          <w:b/>
          <w:i w:val="0"/>
          <w:sz w:val="19"/>
        </w:rPr>
        <w:t>원문 읽기 포인트</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핵심 동사</w:t>
            </w:r>
          </w:p>
        </w:tc>
        <w:tc>
          <w:tcPr>
            <w:tcW w:type="dxa" w:w="14003"/>
            <w:tcMar>
              <w:top w:w="22" w:type="dxa"/>
              <w:bottom w:w="22" w:type="dxa"/>
            </w:tcMar>
          </w:tcPr>
          <w:p>
            <w:r>
              <w:rPr>
                <w:rFonts w:ascii="맑은 고딕" w:hAnsi="맑은 고딕" w:eastAsia="맑은 고딕"/>
                <w:b w:val="0"/>
                <w:i w:val="0"/>
                <w:sz w:val="16"/>
              </w:rPr>
              <w:t>[10통과1-02-03] 주기성을 나타내는 현상을 통해 자연의 규칙성을 ‘도출’ + 주요 원소들이 결합을 형성하는 이유를 ‘해석’ → [10통과1-02-04] 결합의 차이를 ‘이해’ + 물질의 성질과 관련지어 ‘설명’</w:t>
            </w:r>
          </w:p>
          <w:p>
            <w:pPr>
              <w:ind w:left="170" w:hanging="170"/>
            </w:pPr>
            <w:r>
              <w:rPr>
                <w:rFonts w:ascii="맑은 고딕" w:hAnsi="맑은 고딕" w:eastAsia="맑은 고딕"/>
                <w:b w:val="0"/>
                <w:i w:val="0"/>
                <w:sz w:val="16"/>
              </w:rPr>
              <w:t>→ 현상(동족 원소의 유사성) → 원인(전자 배치) → 결과(결합 형성) → 결합 종류에 따른 성질(전기 전도성)로 이어지는 인과 사슬</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수준 제한</w:t>
            </w:r>
          </w:p>
        </w:tc>
        <w:tc>
          <w:tcPr>
            <w:tcW w:type="dxa" w:w="14003"/>
            <w:tcMar>
              <w:top w:w="22" w:type="dxa"/>
              <w:bottom w:w="22" w:type="dxa"/>
            </w:tcMar>
          </w:tcPr>
          <w:p>
            <w:pPr>
              <w:ind w:left="170" w:hanging="170"/>
            </w:pPr>
            <w:r>
              <w:rPr>
                <w:rFonts w:ascii="맑은 고딕" w:hAnsi="맑은 고딕" w:eastAsia="맑은 고딕"/>
                <w:b w:val="0"/>
                <w:i w:val="0"/>
                <w:sz w:val="16"/>
              </w:rPr>
              <w:t>• 동족 원소의 유사성은 주기율표의 1족과 17족 원소로 다룸 (해설 [10통과1-02-03])</w:t>
            </w:r>
          </w:p>
          <w:p>
            <w:pPr>
              <w:ind w:left="170" w:hanging="170"/>
            </w:pPr>
            <w:r>
              <w:rPr>
                <w:rFonts w:ascii="맑은 고딕" w:hAnsi="맑은 고딕" w:eastAsia="맑은 고딕"/>
                <w:b w:val="0"/>
                <w:i w:val="0"/>
                <w:sz w:val="16"/>
              </w:rPr>
              <w:t>• 결합 형성 이유는 전자껍질 모형을 이용한 전자 배치로, 안정성을 지닌 원소(18족)와 비교하여 설명 (해설 [10통과1-02-03]) → 오비탈·전기 음성도·격자 에너지는 다루지 않음</w:t>
            </w:r>
          </w:p>
          <w:p>
            <w:r>
              <w:rPr>
                <w:rFonts w:ascii="맑은 고딕" w:hAnsi="맑은 고딕" w:eastAsia="맑은 고딕"/>
                <w:b/>
                <w:i w:val="0"/>
                <w:sz w:val="16"/>
              </w:rPr>
              <w:t>• 각 화학 결합으로 나타나는 성질은 전기 전도성에 한정 (해설 [10통과1-02-04]) → 녹는점·끓는점, 부서짐 등은 범위 밖</w:t>
            </w:r>
          </w:p>
          <w:p>
            <w:pPr>
              <w:ind w:left="170" w:hanging="170"/>
            </w:pPr>
            <w:r>
              <w:rPr>
                <w:rFonts w:ascii="맑은 고딕" w:hAnsi="맑은 고딕" w:eastAsia="맑은 고딕"/>
                <w:b w:val="0"/>
                <w:i w:val="0"/>
                <w:sz w:val="16"/>
              </w:rPr>
              <w:t>• [10통과1-02-01·02·05·06]은 물리·지구과학·생명과학 영역이 중심이므로 이 문서에서는 다루지 않음 (원문은 위에 전문 수록)</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 ↔</w:t>
              <w:br/>
              <w:t>성취기준</w:t>
            </w:r>
          </w:p>
        </w:tc>
        <w:tc>
          <w:tcPr>
            <w:tcW w:type="dxa" w:w="14003"/>
            <w:tcMar>
              <w:top w:w="22" w:type="dxa"/>
              <w:bottom w:w="22" w:type="dxa"/>
            </w:tcMar>
          </w:tcPr>
          <w:p>
            <w:pPr>
              <w:ind w:left="170" w:hanging="170"/>
            </w:pPr>
            <w:r>
              <w:rPr>
                <w:rFonts w:ascii="맑은 고딕" w:hAnsi="맑은 고딕" w:eastAsia="맑은 고딕"/>
                <w:b w:val="0"/>
                <w:i w:val="0"/>
                <w:sz w:val="16"/>
              </w:rPr>
              <w:t>• 같은 족 원소들의 유사성을 탐구하는 실험 설계하기 → [10통과1-02-03]</w:t>
            </w:r>
          </w:p>
          <w:p>
            <w:pPr>
              <w:ind w:left="170" w:hanging="170"/>
            </w:pPr>
            <w:r>
              <w:rPr>
                <w:rFonts w:ascii="맑은 고딕" w:hAnsi="맑은 고딕" w:eastAsia="맑은 고딕"/>
                <w:b w:val="0"/>
                <w:i w:val="0"/>
                <w:sz w:val="16"/>
              </w:rPr>
              <w:t>• 이온 결합 화합물과 공유 결합 화합물의 성질을 비교하는 실험하기 → [10통과1-02-04]</w:t>
            </w:r>
          </w:p>
          <w:p>
            <w:r>
              <w:rPr>
                <w:rFonts w:ascii="맑은 고딕" w:hAnsi="맑은 고딕" w:eastAsia="맑은 고딕"/>
                <w:b/>
                <w:i w:val="0"/>
                <w:sz w:val="16"/>
              </w:rPr>
              <w:t>※ 결합 형성 이유(전자 배치·18족과 비교)에는 원문 탐구 활동이 없음 → 두 교과서 모두 ‘해 보기’ 모형 활동으로 보완 (비상: 2·3주기 전자 배치 분석·18족처럼 안정해지는 방법 / 미래엔: 전자 배치 모형 만들기·18족처럼 안정해지는 방법 추론·공유 결합 모형)</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통과1</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Ⅱ. 물질과 규칙성</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(2) 물질과 규칙성 — 내용 요소 정리 (교과서 흐름 순)</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② 내용 요소</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3402"/>
        <w:gridCol w:w="1871"/>
        <w:gridCol w:w="5896"/>
        <w:gridCol w:w="2154"/>
        <w:gridCol w:w="2154"/>
      </w:tblGrid>
      <w:tr>
        <w:trPr>
          <w:cantSplit w:val="true"/>
          <w:tblHeader w:val="true"/>
        </w:trPr>
        <w:tc>
          <w:tcPr>
            <w:tcW w:type="dxa" w:w="3402"/>
            <w:tcMar>
              <w:top w:w="22" w:type="dxa"/>
              <w:bottom w:w="22" w:type="dxa"/>
            </w:tcMar>
            <w:shd w:val="clear" w:fill="D9D9D9"/>
            <w:vAlign w:val="center"/>
          </w:tcPr>
          <w:p>
            <w:pPr>
              <w:jc w:val="center"/>
            </w:pPr>
            <w:r>
              <w:rPr>
                <w:rFonts w:ascii="맑은 고딕" w:hAnsi="맑은 고딕" w:eastAsia="맑은 고딕"/>
                <w:b/>
                <w:i w:val="0"/>
                <w:sz w:val="16"/>
              </w:rPr>
              <w:t>성취기준</w:t>
            </w:r>
          </w:p>
        </w:tc>
        <w:tc>
          <w:tcPr>
            <w:tcW w:type="dxa" w:w="1871"/>
            <w:tcMar>
              <w:top w:w="22" w:type="dxa"/>
              <w:bottom w:w="22" w:type="dxa"/>
            </w:tcMar>
            <w:shd w:val="clear" w:fill="D9D9D9"/>
            <w:vAlign w:val="center"/>
          </w:tcPr>
          <w:p>
            <w:pPr>
              <w:jc w:val="center"/>
            </w:pPr>
            <w:r>
              <w:rPr>
                <w:rFonts w:ascii="맑은 고딕" w:hAnsi="맑은 고딕" w:eastAsia="맑은 고딕"/>
                <w:b/>
                <w:i w:val="0"/>
                <w:sz w:val="16"/>
              </w:rPr>
              <w:t>1. 원문 상 내용 요소</w:t>
            </w:r>
          </w:p>
        </w:tc>
        <w:tc>
          <w:tcPr>
            <w:tcW w:type="dxa" w:w="5896"/>
            <w:tcMar>
              <w:top w:w="22" w:type="dxa"/>
              <w:bottom w:w="22" w:type="dxa"/>
            </w:tcMar>
            <w:shd w:val="clear" w:fill="D9D9D9"/>
            <w:vAlign w:val="center"/>
          </w:tcPr>
          <w:p>
            <w:pPr>
              <w:jc w:val="center"/>
            </w:pPr>
            <w:r>
              <w:rPr>
                <w:rFonts w:ascii="맑은 고딕" w:hAnsi="맑은 고딕" w:eastAsia="맑은 고딕"/>
                <w:b/>
                <w:i w:val="0"/>
                <w:sz w:val="16"/>
              </w:rPr>
              <w:t>2. 내용 요소의 정의 (두 교과서 핵심 표현 요약)</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비상 제시 위치</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미래엔 제시 위치</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[10통과1-02-03]</w:t>
            </w:r>
          </w:p>
          <w:p>
            <w:r>
              <w:rPr>
                <w:rFonts w:ascii="맑은 고딕" w:hAnsi="맑은 고딕" w:eastAsia="맑은 고딕"/>
                <w:b w:val="0"/>
                <w:i w:val="0"/>
                <w:sz w:val="16"/>
              </w:rPr>
              <w:t>세상을 구성하는 원소들의 성질이 주기성을 나타내는 현상을 통해 자연의 규칙성을 도출하고, 지구와 생명체를 구성하는 주요 원소들이 결합을 형성하는 이유를 해석할 수 있다.</w:t>
            </w:r>
          </w:p>
        </w:tc>
        <w:tc>
          <w:tcPr>
            <w:tcW w:type="dxa" w:w="1871"/>
            <w:tcMar>
              <w:top w:w="22" w:type="dxa"/>
              <w:bottom w:w="22" w:type="dxa"/>
            </w:tcMar>
            <w:shd w:val="clear" w:fill="F2F2F2"/>
          </w:tcPr>
          <w:p>
            <w:r>
              <w:rPr>
                <w:rFonts w:ascii="맑은 고딕" w:hAnsi="맑은 고딕" w:eastAsia="맑은 고딕"/>
                <w:b/>
                <w:i w:val="0"/>
                <w:sz w:val="16"/>
              </w:rPr>
              <w:t>주기율표 · 주기 · 족</w:t>
            </w:r>
          </w:p>
        </w:tc>
        <w:tc>
          <w:tcPr>
            <w:tcW w:type="dxa" w:w="5896"/>
            <w:tcMar>
              <w:top w:w="22" w:type="dxa"/>
              <w:bottom w:w="22" w:type="dxa"/>
            </w:tcMar>
          </w:tcPr>
          <w:p>
            <w:r>
              <w:rPr>
                <w:rFonts w:ascii="맑은 고딕" w:hAnsi="맑은 고딕" w:eastAsia="맑은 고딕"/>
                <w:b w:val="0"/>
                <w:i w:val="0"/>
                <w:sz w:val="16"/>
              </w:rPr>
              <w:t>원소를 원자 번호 순으로 배열하되 화학적 성질이 비슷한 원소가 같은 세로줄에 오게 한 표 — 가로줄은 주기(1~7), 세로줄은 족(1~18)</w:t>
            </w:r>
          </w:p>
        </w:tc>
        <w:tc>
          <w:tcPr>
            <w:tcW w:type="dxa" w:w="2154"/>
            <w:vMerge w:val="restart"/>
            <w:tcMar>
              <w:top w:w="22" w:type="dxa"/>
              <w:bottom w:w="22" w:type="dxa"/>
            </w:tcMar>
            <w:vAlign w:val="center"/>
          </w:tcPr>
          <w:p>
            <w:r>
              <w:rPr>
                <w:rFonts w:ascii="맑은 고딕" w:hAnsi="맑은 고딕" w:eastAsia="맑은 고딕"/>
                <w:b w:val="0"/>
                <w:i w:val="0"/>
                <w:sz w:val="16"/>
              </w:rPr>
              <w:t>Ⅱ-2-01 ① 세상을 구성하는 원소</w:t>
            </w:r>
          </w:p>
        </w:tc>
        <w:tc>
          <w:tcPr>
            <w:tcW w:type="dxa" w:w="2154"/>
            <w:vMerge w:val="restart"/>
            <w:tcMar>
              <w:top w:w="22" w:type="dxa"/>
              <w:bottom w:w="22" w:type="dxa"/>
            </w:tcMar>
            <w:vAlign w:val="center"/>
          </w:tcPr>
          <w:p>
            <w:r>
              <w:rPr>
                <w:rFonts w:ascii="맑은 고딕" w:hAnsi="맑은 고딕" w:eastAsia="맑은 고딕"/>
                <w:b w:val="0"/>
                <w:i w:val="0"/>
                <w:sz w:val="16"/>
              </w:rPr>
              <w:t>Ⅱ-1-3 주기율표</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금속 · 비금속 원소</w:t>
            </w:r>
          </w:p>
        </w:tc>
        <w:tc>
          <w:tcPr>
            <w:tcW w:type="dxa" w:w="5896"/>
            <w:tcMar>
              <w:top w:w="22" w:type="dxa"/>
              <w:bottom w:w="22" w:type="dxa"/>
            </w:tcMar>
          </w:tcPr>
          <w:p>
            <w:r>
              <w:rPr>
                <w:rFonts w:ascii="맑은 고딕" w:hAnsi="맑은 고딕" w:eastAsia="맑은 고딕"/>
                <w:b w:val="0"/>
                <w:i w:val="0"/>
                <w:sz w:val="16"/>
              </w:rPr>
              <w:t>금속: 광택, 열·전기 잘 통함, 펴지고 늘어남, 주기율표 왼쪽·가운데 / 비금속: 광택 없음, 열·전기 잘 안 통함, 주로 오른쪽</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알칼리 금속 · 할로젠</w:t>
            </w:r>
          </w:p>
        </w:tc>
        <w:tc>
          <w:tcPr>
            <w:tcW w:type="dxa" w:w="5896"/>
            <w:tcMar>
              <w:top w:w="22" w:type="dxa"/>
              <w:bottom w:w="22" w:type="dxa"/>
            </w:tcMar>
          </w:tcPr>
          <w:p>
            <w:r>
              <w:rPr>
                <w:rFonts w:ascii="맑은 고딕" w:hAnsi="맑은 고딕" w:eastAsia="맑은 고딕"/>
                <w:b w:val="0"/>
                <w:i w:val="0"/>
                <w:sz w:val="16"/>
              </w:rPr>
              <w:t>알칼리 금속(수소 제외 1족): 무르고 반응성이 커서 산소·물과 잘 반응, 물과 반응한 수용액은 염기성 / 할로젠(17족): 반응성이 커서 금속·수소와 잘 반응, 이원자 분자</w:t>
            </w:r>
          </w:p>
        </w:tc>
        <w:tc>
          <w:tcPr>
            <w:tcW w:type="dxa" w:w="2154"/>
            <w:vMerge w:val="restart"/>
            <w:tcMar>
              <w:top w:w="22" w:type="dxa"/>
              <w:bottom w:w="22" w:type="dxa"/>
            </w:tcMar>
            <w:vAlign w:val="center"/>
          </w:tcPr>
          <w:p>
            <w:r>
              <w:rPr>
                <w:rFonts w:ascii="맑은 고딕" w:hAnsi="맑은 고딕" w:eastAsia="맑은 고딕"/>
                <w:b w:val="0"/>
                <w:i w:val="0"/>
                <w:sz w:val="16"/>
              </w:rPr>
              <w:t>Ⅱ-2-01 ② 원소의 주기성 (탐구: 같은 족 원소들의 유사성 실험 설계)</w:t>
            </w:r>
          </w:p>
        </w:tc>
        <w:tc>
          <w:tcPr>
            <w:tcW w:type="dxa" w:w="2154"/>
            <w:vMerge w:val="restart"/>
            <w:tcMar>
              <w:top w:w="22" w:type="dxa"/>
              <w:bottom w:w="22" w:type="dxa"/>
            </w:tcMar>
            <w:vAlign w:val="center"/>
          </w:tcPr>
          <w:p>
            <w:r>
              <w:rPr>
                <w:rFonts w:ascii="맑은 고딕" w:hAnsi="맑은 고딕" w:eastAsia="맑은 고딕"/>
                <w:b w:val="0"/>
                <w:i w:val="0"/>
                <w:sz w:val="16"/>
              </w:rPr>
              <w:t>Ⅱ-1-3 같은 족 원소들의 유사성 (탐구: 실험 설계하기)</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원소의 주기성</w:t>
            </w:r>
          </w:p>
        </w:tc>
        <w:tc>
          <w:tcPr>
            <w:tcW w:type="dxa" w:w="5896"/>
            <w:tcMar>
              <w:top w:w="22" w:type="dxa"/>
              <w:bottom w:w="22" w:type="dxa"/>
            </w:tcMar>
          </w:tcPr>
          <w:p>
            <w:r>
              <w:rPr>
                <w:rFonts w:ascii="맑은 고딕" w:hAnsi="맑은 고딕" w:eastAsia="맑은 고딕"/>
                <w:b w:val="0"/>
                <w:i w:val="0"/>
                <w:sz w:val="16"/>
              </w:rPr>
              <w:t>원자 번호 순으로 배열할 때 성질이 비슷한 원소가 일정한 간격으로 반복되는 현상 → 자연의 규칙성</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전자 껍질 · 전자 배치</w:t>
            </w:r>
          </w:p>
        </w:tc>
        <w:tc>
          <w:tcPr>
            <w:tcW w:type="dxa" w:w="5896"/>
            <w:tcMar>
              <w:top w:w="22" w:type="dxa"/>
              <w:bottom w:w="22" w:type="dxa"/>
            </w:tcMar>
          </w:tcPr>
          <w:p>
            <w:r>
              <w:rPr>
                <w:rFonts w:ascii="맑은 고딕" w:hAnsi="맑은 고딕" w:eastAsia="맑은 고딕"/>
                <w:b w:val="0"/>
                <w:i w:val="0"/>
                <w:sz w:val="16"/>
              </w:rPr>
              <w:t>보어 모형: 전자는 원자핵 주위의 특정 에너지 준위를 갖는 궤도(전자 껍질)에 배치되며, 첫 번째 껍질 최대 2개, 두 번째·세 번째 껍질 최대 8개(원자 번호 20번까지)</w:t>
            </w:r>
          </w:p>
        </w:tc>
        <w:tc>
          <w:tcPr>
            <w:tcW w:type="dxa" w:w="2154"/>
            <w:vMerge w:val="restart"/>
            <w:tcMar>
              <w:top w:w="22" w:type="dxa"/>
              <w:bottom w:w="22" w:type="dxa"/>
            </w:tcMar>
            <w:vAlign w:val="center"/>
          </w:tcPr>
          <w:p>
            <w:r>
              <w:rPr>
                <w:rFonts w:ascii="맑은 고딕" w:hAnsi="맑은 고딕" w:eastAsia="맑은 고딕"/>
                <w:b w:val="0"/>
                <w:i w:val="0"/>
                <w:sz w:val="16"/>
              </w:rPr>
              <w:t>Ⅱ-2-01 ③ 원소의 주기성이 나타나는 까닭</w:t>
            </w:r>
          </w:p>
        </w:tc>
        <w:tc>
          <w:tcPr>
            <w:tcW w:type="dxa" w:w="2154"/>
            <w:vMerge w:val="restart"/>
            <w:tcMar>
              <w:top w:w="22" w:type="dxa"/>
              <w:bottom w:w="22" w:type="dxa"/>
            </w:tcMar>
            <w:vAlign w:val="center"/>
          </w:tcPr>
          <w:p>
            <w:r>
              <w:rPr>
                <w:rFonts w:ascii="맑은 고딕" w:hAnsi="맑은 고딕" w:eastAsia="맑은 고딕"/>
                <w:b w:val="0"/>
                <w:i w:val="0"/>
                <w:sz w:val="16"/>
              </w:rPr>
              <w:t>Ⅱ-1-3 원소의 주기성과 자연의 규칙성 (해 보기: 전자 배치 모형)</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원자가 전자</w:t>
            </w:r>
          </w:p>
        </w:tc>
        <w:tc>
          <w:tcPr>
            <w:tcW w:type="dxa" w:w="5896"/>
            <w:tcMar>
              <w:top w:w="22" w:type="dxa"/>
              <w:bottom w:w="22" w:type="dxa"/>
            </w:tcMar>
          </w:tcPr>
          <w:p>
            <w:r>
              <w:rPr>
                <w:rFonts w:ascii="맑은 고딕" w:hAnsi="맑은 고딕" w:eastAsia="맑은 고딕"/>
                <w:b w:val="0"/>
                <w:i w:val="0"/>
                <w:sz w:val="16"/>
              </w:rPr>
              <w:t>가장 바깥 전자 껍질에 있으면서 화학 반응에 관여하는 전자 — 같은 족은 원자가 전자 수가 같아 화학적 성질이 비슷하고, 같은 주기는 전자 껍질 수가 같음 (18족은 원자가 전자 0)</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18족의 안정성 · 화학 결합의 형성</w:t>
            </w:r>
          </w:p>
        </w:tc>
        <w:tc>
          <w:tcPr>
            <w:tcW w:type="dxa" w:w="5896"/>
            <w:tcMar>
              <w:top w:w="22" w:type="dxa"/>
              <w:bottom w:w="22" w:type="dxa"/>
            </w:tcMar>
          </w:tcPr>
          <w:p>
            <w:r>
              <w:rPr>
                <w:rFonts w:ascii="맑은 고딕" w:hAnsi="맑은 고딕" w:eastAsia="맑은 고딕"/>
                <w:b w:val="0"/>
                <w:i w:val="0"/>
                <w:sz w:val="16"/>
              </w:rPr>
              <w:t>18족은 가장 바깥 껍질에 전자 2개 또는 8개가 채워져 안정 → 다른 원소는 전자를 잃거나 얻거나 공유하여 18족과 같은 전자 배치를 이루며 결합 (비상은 ‘옥텟 규칙’을 보충으로 제시)</w:t>
            </w:r>
          </w:p>
        </w:tc>
        <w:tc>
          <w:tcPr>
            <w:tcW w:type="dxa" w:w="2154"/>
            <w:tcMar>
              <w:top w:w="22" w:type="dxa"/>
              <w:bottom w:w="22" w:type="dxa"/>
            </w:tcMar>
          </w:tcPr>
          <w:p>
            <w:r>
              <w:rPr>
                <w:rFonts w:ascii="맑은 고딕" w:hAnsi="맑은 고딕" w:eastAsia="맑은 고딕"/>
                <w:b w:val="0"/>
                <w:i w:val="0"/>
                <w:sz w:val="16"/>
              </w:rPr>
              <w:t>Ⅱ-2-01 ④ 화학 결합이 형성되는 까닭 (해 보기: 18족 원소처럼 안정해지는 방법)</w:t>
            </w:r>
          </w:p>
        </w:tc>
        <w:tc>
          <w:tcPr>
            <w:tcW w:type="dxa" w:w="2154"/>
            <w:tcMar>
              <w:top w:w="22" w:type="dxa"/>
              <w:bottom w:w="22" w:type="dxa"/>
            </w:tcMar>
          </w:tcPr>
          <w:p>
            <w:r>
              <w:rPr>
                <w:rFonts w:ascii="맑은 고딕" w:hAnsi="맑은 고딕" w:eastAsia="맑은 고딕"/>
                <w:b w:val="0"/>
                <w:i w:val="0"/>
                <w:sz w:val="16"/>
              </w:rPr>
              <w:t>Ⅱ-1-3 원소의 결합 (해 보기: 18족과 같이 안정해지는 방법 추론)</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[10통과1-02-04]</w:t>
            </w:r>
          </w:p>
          <w:p>
            <w:r>
              <w:rPr>
                <w:rFonts w:ascii="맑은 고딕" w:hAnsi="맑은 고딕" w:eastAsia="맑은 고딕"/>
                <w:b w:val="0"/>
                <w:i w:val="0"/>
                <w:sz w:val="16"/>
              </w:rPr>
              <w:t>인류의 생존에 필수적인 물, 산소, 소금 등이 만들어지는 결합의 차이를 이해하고 각 물질의 성질과 관련지어 설명할 수 있다.</w:t>
            </w:r>
          </w:p>
        </w:tc>
        <w:tc>
          <w:tcPr>
            <w:tcW w:type="dxa" w:w="1871"/>
            <w:tcMar>
              <w:top w:w="22" w:type="dxa"/>
              <w:bottom w:w="22" w:type="dxa"/>
            </w:tcMar>
            <w:shd w:val="clear" w:fill="F2F2F2"/>
          </w:tcPr>
          <w:p>
            <w:r>
              <w:rPr>
                <w:rFonts w:ascii="맑은 고딕" w:hAnsi="맑은 고딕" w:eastAsia="맑은 고딕"/>
                <w:b/>
                <w:i w:val="0"/>
                <w:sz w:val="16"/>
              </w:rPr>
              <w:t>이온 결합</w:t>
            </w:r>
          </w:p>
        </w:tc>
        <w:tc>
          <w:tcPr>
            <w:tcW w:type="dxa" w:w="5896"/>
            <w:tcMar>
              <w:top w:w="22" w:type="dxa"/>
              <w:bottom w:w="22" w:type="dxa"/>
            </w:tcMar>
          </w:tcPr>
          <w:p>
            <w:r>
              <w:rPr>
                <w:rFonts w:ascii="맑은 고딕" w:hAnsi="맑은 고딕" w:eastAsia="맑은 고딕"/>
                <w:b w:val="0"/>
                <w:i w:val="0"/>
                <w:sz w:val="16"/>
              </w:rPr>
              <w:t>금속 원소가 전자를 잃어 생긴 양이온과 비금속 원소가 전자를 얻어 생긴 음이온 사이의 정전기적 인력으로 형성되는 결합 (예: 염화 나트륨) — 이온이 규칙적으로 배열된 입체 구조</w:t>
            </w:r>
          </w:p>
        </w:tc>
        <w:tc>
          <w:tcPr>
            <w:tcW w:type="dxa" w:w="2154"/>
            <w:tcMar>
              <w:top w:w="22" w:type="dxa"/>
              <w:bottom w:w="22" w:type="dxa"/>
            </w:tcMar>
          </w:tcPr>
          <w:p>
            <w:r>
              <w:rPr>
                <w:rFonts w:ascii="맑은 고딕" w:hAnsi="맑은 고딕" w:eastAsia="맑은 고딕"/>
                <w:b w:val="0"/>
                <w:i w:val="0"/>
                <w:sz w:val="16"/>
              </w:rPr>
              <w:t>Ⅱ-2-01 ④ 이온 결합 → Ⅱ-2-02 ① 생존에 필수적인 물질</w:t>
            </w:r>
          </w:p>
        </w:tc>
        <w:tc>
          <w:tcPr>
            <w:tcW w:type="dxa" w:w="2154"/>
            <w:tcMar>
              <w:top w:w="22" w:type="dxa"/>
              <w:bottom w:w="22" w:type="dxa"/>
            </w:tcMar>
          </w:tcPr>
          <w:p>
            <w:r>
              <w:rPr>
                <w:rFonts w:ascii="맑은 고딕" w:hAnsi="맑은 고딕" w:eastAsia="맑은 고딕"/>
                <w:b w:val="0"/>
                <w:i w:val="0"/>
                <w:sz w:val="16"/>
              </w:rPr>
              <w:t>Ⅱ-1-4 이온 결합</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공유 결합</w:t>
            </w:r>
          </w:p>
        </w:tc>
        <w:tc>
          <w:tcPr>
            <w:tcW w:type="dxa" w:w="5896"/>
            <w:tcMar>
              <w:top w:w="22" w:type="dxa"/>
              <w:bottom w:w="22" w:type="dxa"/>
            </w:tcMar>
          </w:tcPr>
          <w:p>
            <w:r>
              <w:rPr>
                <w:rFonts w:ascii="맑은 고딕" w:hAnsi="맑은 고딕" w:eastAsia="맑은 고딕"/>
                <w:b w:val="0"/>
                <w:i w:val="0"/>
                <w:sz w:val="16"/>
              </w:rPr>
              <w:t>비금속 원소의 원자들이 전자쌍을 공유하여 형성되는 결합 (예: 물, 산소) — 일정한 수의 원자가 결합한 분자를 이룸</w:t>
            </w:r>
          </w:p>
        </w:tc>
        <w:tc>
          <w:tcPr>
            <w:tcW w:type="dxa" w:w="2154"/>
            <w:tcMar>
              <w:top w:w="22" w:type="dxa"/>
              <w:bottom w:w="22" w:type="dxa"/>
            </w:tcMar>
          </w:tcPr>
          <w:p>
            <w:r>
              <w:rPr>
                <w:rFonts w:ascii="맑은 고딕" w:hAnsi="맑은 고딕" w:eastAsia="맑은 고딕"/>
                <w:b w:val="0"/>
                <w:i w:val="0"/>
                <w:sz w:val="16"/>
              </w:rPr>
              <w:t>Ⅱ-2-01 ④ 공유 결합 → Ⅱ-2-02 ①</w:t>
            </w:r>
          </w:p>
        </w:tc>
        <w:tc>
          <w:tcPr>
            <w:tcW w:type="dxa" w:w="2154"/>
            <w:tcMar>
              <w:top w:w="22" w:type="dxa"/>
              <w:bottom w:w="22" w:type="dxa"/>
            </w:tcMar>
          </w:tcPr>
          <w:p>
            <w:r>
              <w:rPr>
                <w:rFonts w:ascii="맑은 고딕" w:hAnsi="맑은 고딕" w:eastAsia="맑은 고딕"/>
                <w:b w:val="0"/>
                <w:i w:val="0"/>
                <w:sz w:val="16"/>
              </w:rPr>
              <w:t>Ⅱ-1-4 공유 결합 (해 보기: 공유 결합 모형)</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화학식</w:t>
            </w:r>
          </w:p>
        </w:tc>
        <w:tc>
          <w:tcPr>
            <w:tcW w:type="dxa" w:w="5896"/>
            <w:tcMar>
              <w:top w:w="22" w:type="dxa"/>
              <w:bottom w:w="22" w:type="dxa"/>
            </w:tcMar>
          </w:tcPr>
          <w:p>
            <w:r>
              <w:rPr>
                <w:rFonts w:ascii="맑은 고딕" w:hAnsi="맑은 고딕" w:eastAsia="맑은 고딕"/>
                <w:b w:val="0"/>
                <w:i w:val="0"/>
                <w:sz w:val="16"/>
              </w:rPr>
              <w:t>물질을 구성하는 원자의 종류와 개수를 원소 기호로 나타낸 것 — 이온 결합 물질은 양이온·음이온의 개수비로 표현 (비상만 본문·보충으로 정리)</w:t>
            </w:r>
          </w:p>
        </w:tc>
        <w:tc>
          <w:tcPr>
            <w:tcW w:type="dxa" w:w="2154"/>
            <w:tcMar>
              <w:top w:w="22" w:type="dxa"/>
              <w:bottom w:w="22" w:type="dxa"/>
            </w:tcMar>
          </w:tcPr>
          <w:p>
            <w:r>
              <w:rPr>
                <w:rFonts w:ascii="맑은 고딕" w:hAnsi="맑은 고딕" w:eastAsia="맑은 고딕"/>
                <w:b w:val="0"/>
                <w:i w:val="0"/>
                <w:sz w:val="16"/>
              </w:rPr>
              <w:t>Ⅱ-2-02 ① (화학식·이온 결합 물질의 화학식·이름)</w:t>
            </w:r>
          </w:p>
        </w:tc>
        <w:tc>
          <w:tcPr>
            <w:tcW w:type="dxa" w:w="2154"/>
            <w:tcMar>
              <w:top w:w="22" w:type="dxa"/>
              <w:bottom w:w="22" w:type="dxa"/>
            </w:tcMar>
          </w:tcPr>
          <w:p>
            <w:r>
              <w:rPr>
                <w:rFonts w:ascii="맑은 고딕" w:hAnsi="맑은 고딕" w:eastAsia="맑은 고딕"/>
                <w:b w:val="0"/>
                <w:i w:val="0"/>
                <w:sz w:val="16"/>
              </w:rPr>
              <w:t>용어 정의 없음 (그림 속 화학식만)</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결합의 종류와 전기 전도성</w:t>
            </w:r>
          </w:p>
        </w:tc>
        <w:tc>
          <w:tcPr>
            <w:tcW w:type="dxa" w:w="5896"/>
            <w:tcMar>
              <w:top w:w="22" w:type="dxa"/>
              <w:bottom w:w="22" w:type="dxa"/>
            </w:tcMar>
          </w:tcPr>
          <w:p>
            <w:r>
              <w:rPr>
                <w:rFonts w:ascii="맑은 고딕" w:hAnsi="맑은 고딕" w:eastAsia="맑은 고딕"/>
                <w:b w:val="0"/>
                <w:i w:val="0"/>
                <w:sz w:val="16"/>
              </w:rPr>
              <w:t>이온 결합 물질: 고체에서는 전류가 흐르지 않고 수용액(물에 녹아 이온이 자유롭게 이동)에서는 흐름 / 공유 결합 물질: 대부분 분자로 존재해 고체·수용액 모두 전류가 흐르지 않음 (해설: 전기 전도성에 한정)</w:t>
            </w:r>
          </w:p>
        </w:tc>
        <w:tc>
          <w:tcPr>
            <w:tcW w:type="dxa" w:w="2154"/>
            <w:tcMar>
              <w:top w:w="22" w:type="dxa"/>
              <w:bottom w:w="22" w:type="dxa"/>
            </w:tcMar>
          </w:tcPr>
          <w:p>
            <w:r>
              <w:rPr>
                <w:rFonts w:ascii="맑은 고딕" w:hAnsi="맑은 고딕" w:eastAsia="맑은 고딕"/>
                <w:b w:val="0"/>
                <w:i w:val="0"/>
                <w:sz w:val="16"/>
              </w:rPr>
              <w:t>Ⅱ-2-02 ② 화학 결합의 종류에 따른 물질의 성질 (탐구: 성질 비교)</w:t>
            </w:r>
          </w:p>
        </w:tc>
        <w:tc>
          <w:tcPr>
            <w:tcW w:type="dxa" w:w="2154"/>
            <w:tcMar>
              <w:top w:w="22" w:type="dxa"/>
              <w:bottom w:w="22" w:type="dxa"/>
            </w:tcMar>
          </w:tcPr>
          <w:p>
            <w:r>
              <w:rPr>
                <w:rFonts w:ascii="맑은 고딕" w:hAnsi="맑은 고딕" w:eastAsia="맑은 고딕"/>
                <w:b w:val="0"/>
                <w:i w:val="0"/>
                <w:sz w:val="16"/>
              </w:rPr>
              <w:t>Ⅱ-1-4 이온 결합 물질과 공유 결합 물질의 성질 (탐구: 성질 비교하기)</w:t>
            </w:r>
          </w:p>
        </w:tc>
      </w:tr>
    </w:tbl>
    <w:p>
      <w:pPr>
        <w:keepNext/>
        <w:spacing w:before="120" w:after="40"/>
      </w:pPr>
      <w:r>
        <w:rPr>
          <w:rFonts w:ascii="맑은 고딕" w:hAnsi="맑은 고딕" w:eastAsia="맑은 고딕"/>
          <w:b/>
          <w:i w:val="0"/>
          <w:sz w:val="19"/>
        </w:rPr>
        <w:t>3. 내용 요소의 학습 위계</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이전 학습</w:t>
              <w:br/>
              <w:t>(중 1~3)</w:t>
            </w:r>
          </w:p>
        </w:tc>
        <w:tc>
          <w:tcPr>
            <w:tcW w:type="dxa" w:w="14003"/>
            <w:tcMar>
              <w:top w:w="22" w:type="dxa"/>
              <w:bottom w:w="22" w:type="dxa"/>
            </w:tcMar>
          </w:tcPr>
          <w:p>
            <w:r>
              <w:rPr>
                <w:rFonts w:ascii="맑은 고딕" w:hAnsi="맑은 고딕" w:eastAsia="맑은 고딕"/>
                <w:b w:val="0"/>
                <w:i w:val="0"/>
                <w:sz w:val="16"/>
              </w:rPr>
              <w:t>중2 ‘물질의 구성’: 원소·화합물, 원자 구조(양성자·중성자·전자), 양성자 수에 따른 주기율표 배치, 같은 족 원소의 유사성(1족과 물의 반응성, 18족의 안정성 — 원리·주기성은 다루지 않음), 이온(전자를 잃으면 양이온·얻으면 음이온)</w:t>
            </w:r>
          </w:p>
          <w:p>
            <w:r>
              <w:rPr>
                <w:rFonts w:ascii="맑은 고딕" w:hAnsi="맑은 고딕" w:eastAsia="맑은 고딕"/>
                <w:b w:val="0"/>
                <w:i w:val="0"/>
                <w:sz w:val="16"/>
              </w:rPr>
              <w:t>중3 ‘화학 반응의 규칙성’: 화학식·화학 반응식 → 원리 없이 ‘현상’으로만 알던 유사성·이온을 고등학교에서 전자 배치로 설명</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단원 내</w:t>
              <w:br/>
              <w:t>학습 순서</w:t>
            </w:r>
          </w:p>
        </w:tc>
        <w:tc>
          <w:tcPr>
            <w:tcW w:type="dxa" w:w="14003"/>
            <w:tcMar>
              <w:top w:w="22" w:type="dxa"/>
              <w:bottom w:w="22" w:type="dxa"/>
            </w:tcMar>
          </w:tcPr>
          <w:p>
            <w:r>
              <w:rPr>
                <w:rFonts w:ascii="맑은 고딕" w:hAnsi="맑은 고딕" w:eastAsia="맑은 고딕"/>
                <w:b w:val="0"/>
                <w:i w:val="0"/>
                <w:sz w:val="16"/>
              </w:rPr>
              <w:t>주기율표·금속/비금속 → 같은 족 원소의 유사성(1족·17족, 실험 설계) → 원소의 주기성 → 전자 배치·원자가 전자(주기성의 까닭) → 18족의 안정성 → 이온 결합·공유 결합 형성 → 결합 종류에 따른 성질(전기 전도성)</w:t>
            </w:r>
          </w:p>
          <w:p>
            <w:r>
              <w:rPr>
                <w:rFonts w:ascii="맑은 고딕" w:hAnsi="맑은 고딕" w:eastAsia="맑은 고딕"/>
                <w:b w:val="0"/>
                <w:i w:val="0"/>
                <w:sz w:val="16"/>
              </w:rPr>
              <w:t>까닭: ‘같은 족은 성질이 비슷하다(현상)’가 먼저 있어야 ‘원자가 전자 수가 같기 때문(원인)’이 의미를 가지고, 18족의 전자 배치가 기준으로 확립되어야 전자를 주고받거나 공유하는 결합을 해석할 수 있으며, 결합의 차이(이온 vs 분자)를 알아야 전기 전도성 차이를 설명할 수 있음</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교과서 간</w:t>
              <w:br/>
              <w:t>위계 차이</w:t>
            </w:r>
          </w:p>
        </w:tc>
        <w:tc>
          <w:tcPr>
            <w:tcW w:type="dxa" w:w="14003"/>
            <w:tcMar>
              <w:top w:w="22" w:type="dxa"/>
              <w:bottom w:w="22" w:type="dxa"/>
            </w:tcMar>
          </w:tcPr>
          <w:p>
            <w:r>
              <w:rPr>
                <w:rFonts w:ascii="맑은 고딕" w:hAnsi="맑은 고딕" w:eastAsia="맑은 고딕"/>
                <w:b/>
                <w:i w:val="0"/>
                <w:sz w:val="16"/>
              </w:rPr>
              <w:t>• 비상: 주기성 단원(Ⅱ-2-01) 안에서 이온·공유 결합까지 다루고, 물질의 성질은 소단원 Ⅱ-2-02(생존 키트 → 성질 비교)로 분리</w:t>
            </w:r>
          </w:p>
          <w:p>
            <w:r>
              <w:rPr>
                <w:rFonts w:ascii="맑은 고딕" w:hAnsi="맑은 고딕" w:eastAsia="맑은 고딕"/>
                <w:b/>
                <w:i w:val="0"/>
                <w:sz w:val="16"/>
              </w:rPr>
              <w:t>• 미래엔: Ⅱ-1-3에서 18족 안정성·결합 이유까지, Ⅱ-1-4 ‘이온 결합과 공유 결합’에서 결합 형성과 성질 비교를 한 소단원으로 묶음</w:t>
            </w:r>
          </w:p>
          <w:p>
            <w:pPr>
              <w:ind w:left="170" w:hanging="170"/>
            </w:pPr>
            <w:r>
              <w:rPr>
                <w:rFonts w:ascii="맑은 고딕" w:hAnsi="맑은 고딕" w:eastAsia="맑은 고딕"/>
                <w:b w:val="0"/>
                <w:i w:val="0"/>
                <w:sz w:val="16"/>
              </w:rPr>
              <w:t>• 비상은 보어 모형·에너지 준위를 먼저 세우고 전자 배치를 해석, 미래엔은 학생이 직접 전자 배치 모형을 만든 뒤 규칙을 찾게 함</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이후 학습</w:t>
            </w:r>
          </w:p>
        </w:tc>
        <w:tc>
          <w:tcPr>
            <w:tcW w:type="dxa" w:w="14003"/>
            <w:tcMar>
              <w:top w:w="22" w:type="dxa"/>
              <w:bottom w:w="22" w:type="dxa"/>
            </w:tcMar>
          </w:tcPr>
          <w:p>
            <w:r>
              <w:rPr>
                <w:rFonts w:ascii="맑은 고딕" w:hAnsi="맑은 고딕" w:eastAsia="맑은 고딕"/>
                <w:b w:val="0"/>
                <w:i w:val="0"/>
                <w:sz w:val="16"/>
              </w:rPr>
              <w:t>통합과학1 [10통과1-02-05] 규산염 광물·단백질·핵산(기본 단위체의 결합) · [10통과1-02-06] 물질의 전기적 성질(도체·부도체·반도체)</w:t>
            </w:r>
          </w:p>
          <w:p>
            <w:r>
              <w:rPr>
                <w:rFonts w:ascii="맑은 고딕" w:hAnsi="맑은 고딕" w:eastAsia="맑은 고딕"/>
                <w:b w:val="0"/>
                <w:i w:val="0"/>
                <w:sz w:val="16"/>
              </w:rPr>
              <w:t>통합과학2 ‘변화와 다양성’(산화·환원 = 전자의 이동, 산·염기의 이온) · 고등학교 ‘화학’의 물질의 구조와 성질(오비탈·전기 음성도·결합의 극성)</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통과1</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물질과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[10통과1-02-03] 세상을 구성하는 원소들의 성질이 주기성을 나타내는 현상을 통해 자연의 규칙성을 도출하고, 지구와 생명체를 구성하는 주요 원소들이 결합을 형성하는 이유를 해석할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같은 족 원소들의 유사성을 탐구하는 실험 설계</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p.62~63 · 본문 p.61, 63</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p.63 · 본문 p.60, 62</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목표(p.62): 같은 족 원소들의 유사성을 탐구하는 실험을 설계할 수 있다.</w:t>
            </w:r>
          </w:p>
          <w:p>
            <w:r>
              <w:rPr>
                <w:rFonts w:ascii="맑은 고딕" w:hAnsi="맑은 고딕" w:eastAsia="맑은 고딕"/>
                <w:b w:val="0"/>
                <w:i w:val="0"/>
              </w:rPr>
              <w:t>준비물(p.62): 스마트 기기 (학생이 설계한 실험의 예시 준비물: 리튬, 나트륨, 칼륨, 물, 비커, 핀셋, 보안경, 실험용 장갑, 실험복 — 교사용 예시 답안)</w:t>
            </w:r>
          </w:p>
          <w:p>
            <w:r>
              <w:rPr>
                <w:rFonts w:ascii="맑은 고딕" w:hAnsi="맑은 고딕" w:eastAsia="맑은 고딕"/>
                <w:b w:val="0"/>
                <w:i w:val="0"/>
              </w:rPr>
              <w:t>도입(p.62): 달력에서 일정한 간격을 두고 같은 요일이 규칙적으로 나타나는 것처럼 주기율표에서도 원소의 성질이 주기적으로 나타난다. 다음 탐구에서 같은 족 원소들의 유사성을 탐구하는 실험을 직접 설계해 보자. / 문제 인식: 같은 족 원소들의 유사성을 탐구하려면 어떻게 실험을 설계해야 할까?</w:t>
            </w:r>
          </w:p>
          <w:p>
            <w:r>
              <w:rPr>
                <w:rFonts w:ascii="맑은 고딕" w:hAnsi="맑은 고딕" w:eastAsia="맑은 고딕"/>
                <w:b w:val="0"/>
                <w:i w:val="0"/>
              </w:rPr>
              <w:t>활동 길잡이(p.62): 실험을 설계할 때 한 가지 요인(조작변인)에 의한 효과(종속변인)를 확인하려면 결과에 영향을 줄 수 있는 다른 요인(통제변인)은 일정하게 유지해야 한다.</w:t>
            </w:r>
          </w:p>
          <w:p>
            <w:r>
              <w:rPr>
                <w:rFonts w:ascii="맑은 고딕" w:hAnsi="맑은 고딕" w:eastAsia="맑은 고딕"/>
                <w:b w:val="0"/>
                <w:i w:val="0"/>
              </w:rPr>
              <w:t>탐구 유의점(p.62 교사용): 1. 주기율표의 1족 원소 중 수소를 제외한 원소인 알칼리 금속의 유사한 성질을 조사해 보게 한다. 이때 수소는 알칼리 금속에 해당하지 않으므로 제외한다는 것을 안내한다. 2. 조사 활동을 할 때 글, 사진, 동영상 등 다양한 형태의 자료를 알아보게 한다.</w:t>
            </w:r>
          </w:p>
          <w:p>
            <w:r>
              <w:rPr>
                <w:rFonts w:ascii="맑은 고딕" w:hAnsi="맑은 고딕" w:eastAsia="맑은 고딕"/>
                <w:b w:val="0"/>
                <w:i w:val="0"/>
              </w:rPr>
              <w:t>탐구 배경 지식(p.62 교사용): 알칼리 금속은 칼로 쉽게 잘릴 정도로 무르며, 칼로 자른 단면은 광택이 있으나 공기 중의 산소와 반응하여 광택이 빠르게 사라진다. 물과 반응하여 수소 기체를 발생시키며, 남은 수용액에 페놀프탈레인 용액을 떨어뜨리면 붉은색으로 변한다 / 변인은 독립 변인(조작 변인·통제 변인)과 종속 변인으로 나뉜다.</w:t>
            </w:r>
          </w:p>
          <w:p>
            <w:r>
              <w:rPr>
                <w:rFonts w:ascii="맑은 고딕" w:hAnsi="맑은 고딕" w:eastAsia="맑은 고딕"/>
                <w:b w:val="0"/>
                <w:i w:val="0"/>
              </w:rPr>
              <w:t>좋은 수업을 위한 제안(p.62 교사용): 22개정 중학교 2학년에서 1족 원소의 물과의 반응성, 18족 원소의 안정성 등 같은 족 원소는 비슷한 성질이 있음을 학습 → 자신이 알고 있는 알칼리 금속의 비슷한 성질 중 한 가지를 선택하고 조작·통제·종속 변인을 고려하여 탐구 실험을 설계하도록 안내</w:t>
            </w:r>
          </w:p>
          <w:p>
            <w:r>
              <w:rPr>
                <w:rFonts w:ascii="맑은 고딕" w:hAnsi="맑은 고딕" w:eastAsia="맑은 고딕"/>
                <w:b w:val="0"/>
                <w:i w:val="0"/>
              </w:rPr>
              <w:t>보충(p.63 교사용): 알칼리 금속의 처리(석유나 유기 용매에 보관, 후드 안에서 에탄올에 넣어 처리) / 알칼리 금속과 물의 반응(수용액은 염기성 → 페놀프탈레인 붉은색) / 알칼리 금속의 반응성(원자 번호가 클수록 원자핵과 전자 사이 인력이 작아 쉽게 반응, Li&lt;Na&lt;K&lt;Rb&lt;Cs) / 자료 영상 QR</w:t>
            </w:r>
          </w:p>
          <w:p>
            <w:r>
              <w:rPr>
                <w:rFonts w:ascii="맑은 고딕" w:hAnsi="맑은 고딕" w:eastAsia="맑은 고딕"/>
                <w:b/>
                <w:i w:val="0"/>
              </w:rPr>
              <w:t>탐구 기능 ‘조사, 실험 설계’ / 탐구(p.62~63, 설계만 하고 실행 단계 없음) + 본문 알칼리 금속·할로젠(p.63, 그림 Ⅱ-17·18) + 확인하기(p.63) / 차시 평가 Tip: 보고서 평가, 동료 평가, 지필 평가</w:t>
            </w:r>
          </w:p>
        </w:tc>
        <w:tc>
          <w:tcPr>
            <w:tcW w:type="dxa" w:w="7200"/>
            <w:tcMar>
              <w:top w:w="22" w:type="dxa"/>
              <w:bottom w:w="22" w:type="dxa"/>
            </w:tcMar>
          </w:tcPr>
          <w:p>
            <w:r>
              <w:rPr>
                <w:rFonts w:ascii="맑은 고딕" w:hAnsi="맑은 고딕" w:eastAsia="맑은 고딕"/>
                <w:b w:val="0"/>
                <w:i w:val="0"/>
              </w:rPr>
              <w:t>목표(p.63): 같은 족 원소들의 유사한 성질을 탐구하는 실험을 설계할 수 있다.</w:t>
            </w:r>
          </w:p>
          <w:p>
            <w:r>
              <w:rPr>
                <w:rFonts w:ascii="맑은 고딕" w:hAnsi="맑은 고딕" w:eastAsia="맑은 고딕"/>
                <w:b w:val="0"/>
                <w:i w:val="0"/>
              </w:rPr>
              <w:t>준비물(p.63 곁글): 스마트 기기, 주기율표 관련 참고 도서 / 과정 1 그림 준비물(설계에 쓸 수 있는 것): 수조, 알칼리 금속, 칼, 페트리접시, 핀셋, 보안경, 면장갑, 실험복, 페놀프탈레인 용액, 물, 실험용 고무장갑</w:t>
            </w:r>
          </w:p>
          <w:p>
            <w:r>
              <w:rPr>
                <w:rFonts w:ascii="맑은 고딕" w:hAnsi="맑은 고딕" w:eastAsia="맑은 고딕"/>
                <w:b w:val="0"/>
                <w:i w:val="0"/>
              </w:rPr>
              <w:t>도입: 별도 도입 문장 없음 — 본문 p.62 ‘같은 족 원소들의 유사성’ 다음 쪽에 탐구 배치 / 단원 도입(p.60): 달력의 날짜들은 일정한 간격을 두고 같은 요일이 주기적으로 반복된다. 주기율표의 원소들도 일정한 간격을 두고 유사한 성질이 반복될까?</w:t>
            </w:r>
          </w:p>
          <w:p>
            <w:r>
              <w:rPr>
                <w:rFonts w:ascii="맑은 고딕" w:hAnsi="맑은 고딕" w:eastAsia="맑은 고딕"/>
                <w:b w:val="0"/>
                <w:i w:val="0"/>
              </w:rPr>
              <w:t>도움말(p.63): 지능형과학실ON 누리집의 ‘학습 자료실-실험 안전’에서 과학 실험 안전 사항을 참고한다. / 디지털 탐색: 스마트 기기에 가상 실험을 할 수 있는 애플리케이션을 설치하고 설계한 실험이 실현 가능한지 점검해 보자. / 가상 실험 QR</w:t>
            </w:r>
          </w:p>
          <w:p>
            <w:r>
              <w:rPr>
                <w:rFonts w:ascii="맑은 고딕" w:hAnsi="맑은 고딕" w:eastAsia="맑은 고딕"/>
                <w:b w:val="0"/>
                <w:i w:val="0"/>
              </w:rPr>
              <w:t>가치·태도 길잡이(p.63): 모둠 활동을 할 때 — 모둠원끼리 서로 의견을 존중하며 실험을 설계한다. 다른 모둠의 발표 내용을 공정하게 평가한다.</w:t>
            </w:r>
          </w:p>
          <w:p>
            <w:r>
              <w:rPr>
                <w:rFonts w:ascii="맑은 고딕" w:hAnsi="맑은 고딕" w:eastAsia="맑은 고딕"/>
                <w:b w:val="0"/>
                <w:i w:val="0"/>
              </w:rPr>
              <w:t>곁글(p.62): 분자로 존재하는 할로젠 — 할로젠은 실온에서 2 개의 원자가 결합한 분자로 존재한다. / 디지털 탐색: 대한화학회 누리집 ‘화학 이야기-주기율표’에서 알칼리 금속과 할로젠에 대한 동영상 / 말풍선(그림 Ⅱ-15): 알칼리 금속이 산소, 물과 반응하는 것을 막기 위해 석유나 파라핀에 담가 밀폐해서 보관해.</w:t>
            </w:r>
          </w:p>
          <w:p>
            <w:r>
              <w:rPr>
                <w:rFonts w:ascii="맑은 고딕" w:hAnsi="맑은 고딕" w:eastAsia="맑은 고딕"/>
                <w:b/>
                <w:i w:val="0"/>
              </w:rPr>
              <w:t>탐구 설계 및 수행 | 의사소통과 협업, 탐구 능력·문제 해결 능력 / 본문 결론(p.62)이 탐구(p.63)보다 앞에 있음 + 그림 Ⅱ-15 + 스스로 확인하기(p.62) / 학생용 — 모범 답안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556756" cy="2159999"/>
                        <wp:docPr id="1" name="Picture 1"/>
                        <wp:cNvGraphicFramePr>
                          <a:graphicFrameLocks noChangeAspect="1"/>
                        </wp:cNvGraphicFramePr>
                        <a:graphic>
                          <a:graphicData uri="http://schemas.openxmlformats.org/drawingml/2006/picture">
                            <pic:pic>
                              <pic:nvPicPr>
                                <pic:cNvPr id="0" name="T201_vp1.jpg"/>
                                <pic:cNvPicPr/>
                              </pic:nvPicPr>
                              <pic:blipFill>
                                <a:blip r:embed="rId9"/>
                                <a:stretch>
                                  <a:fillRect/>
                                </a:stretch>
                              </pic:blipFill>
                              <pic:spPr>
                                <a:xfrm>
                                  <a:off x="0" y="0"/>
                                  <a:ext cx="1556756" cy="2159999"/>
                                </a:xfrm>
                                <a:prstGeom prst="rect"/>
                              </pic:spPr>
                            </pic:pic>
                          </a:graphicData>
                        </a:graphic>
                      </wp:inline>
                    </w:drawing>
                  </w:r>
                </w:p>
                <w:p>
                  <w:pPr>
                    <w:spacing w:after="60"/>
                    <w:jc w:val="center"/>
                  </w:pPr>
                  <w:r>
                    <w:rPr>
                      <w:rFonts w:ascii="맑은 고딕" w:hAnsi="맑은 고딕" w:eastAsia="맑은 고딕"/>
                      <w:b w:val="0"/>
                      <w:i w:val="0"/>
                    </w:rPr>
                    <w:t>p.62 과정 2 실험 설계 표(비슷한 성질·변인 설정·준비물·실험 과정·주의점)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1570153" cy="2159999"/>
                        <wp:docPr id="2" name="Picture 2"/>
                        <wp:cNvGraphicFramePr>
                          <a:graphicFrameLocks noChangeAspect="1"/>
                        </wp:cNvGraphicFramePr>
                        <a:graphic>
                          <a:graphicData uri="http://schemas.openxmlformats.org/drawingml/2006/picture">
                            <pic:pic>
                              <pic:nvPicPr>
                                <pic:cNvPr id="0" name="T201_vp2.jpg"/>
                                <pic:cNvPicPr/>
                              </pic:nvPicPr>
                              <pic:blipFill>
                                <a:blip r:embed="rId10"/>
                                <a:stretch>
                                  <a:fillRect/>
                                </a:stretch>
                              </pic:blipFill>
                              <pic:spPr>
                                <a:xfrm>
                                  <a:off x="0" y="0"/>
                                  <a:ext cx="1570153" cy="2159999"/>
                                </a:xfrm>
                                <a:prstGeom prst="rect"/>
                              </pic:spPr>
                            </pic:pic>
                          </a:graphicData>
                        </a:graphic>
                      </wp:inline>
                    </w:drawing>
                  </w:r>
                </w:p>
                <w:p>
                  <w:pPr>
                    <w:spacing w:after="60"/>
                    <w:jc w:val="center"/>
                  </w:pPr>
                  <w:r>
                    <w:rPr>
                      <w:rFonts w:ascii="맑은 고딕" w:hAnsi="맑은 고딕" w:eastAsia="맑은 고딕"/>
                      <w:b w:val="0"/>
                      <w:i w:val="0"/>
                    </w:rPr>
                    <w:t>p.62 과정 3 온라인 협업 플랫폼에 올린 1 모둠 설계 화면[결과]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59306"/>
                        <wp:docPr id="3" name="Picture 3"/>
                        <wp:cNvGraphicFramePr>
                          <a:graphicFrameLocks noChangeAspect="1"/>
                        </wp:cNvGraphicFramePr>
                        <a:graphic>
                          <a:graphicData uri="http://schemas.openxmlformats.org/drawingml/2006/picture">
                            <pic:pic>
                              <pic:nvPicPr>
                                <pic:cNvPr id="0" name="T201_mp1.jpg"/>
                                <pic:cNvPicPr/>
                              </pic:nvPicPr>
                              <pic:blipFill>
                                <a:blip r:embed="rId11"/>
                                <a:stretch>
                                  <a:fillRect/>
                                </a:stretch>
                              </pic:blipFill>
                              <pic:spPr>
                                <a:xfrm>
                                  <a:off x="0" y="0"/>
                                  <a:ext cx="2106000" cy="759306"/>
                                </a:xfrm>
                                <a:prstGeom prst="rect"/>
                              </pic:spPr>
                            </pic:pic>
                          </a:graphicData>
                        </a:graphic>
                      </wp:inline>
                    </w:drawing>
                  </w:r>
                </w:p>
                <w:p>
                  <w:pPr>
                    <w:spacing w:after="60"/>
                    <w:jc w:val="center"/>
                  </w:pPr>
                  <w:r>
                    <w:rPr>
                      <w:rFonts w:ascii="맑은 고딕" w:hAnsi="맑은 고딕" w:eastAsia="맑은 고딕"/>
                      <w:b w:val="0"/>
                      <w:i w:val="0"/>
                    </w:rPr>
                    <w:t>p.63 과정 및 결과 1 준비물(수조·알칼리 금속·칼·페트리접시·핀셋·페놀프탈레인 용액 등)[기구]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923178"/>
                        <wp:docPr id="4" name="Picture 4"/>
                        <wp:cNvGraphicFramePr>
                          <a:graphicFrameLocks noChangeAspect="1"/>
                        </wp:cNvGraphicFramePr>
                        <a:graphic>
                          <a:graphicData uri="http://schemas.openxmlformats.org/drawingml/2006/picture">
                            <pic:pic>
                              <pic:nvPicPr>
                                <pic:cNvPr id="0" name="T201_mp2.jpg"/>
                                <pic:cNvPicPr/>
                              </pic:nvPicPr>
                              <pic:blipFill>
                                <a:blip r:embed="rId12"/>
                                <a:stretch>
                                  <a:fillRect/>
                                </a:stretch>
                              </pic:blipFill>
                              <pic:spPr>
                                <a:xfrm>
                                  <a:off x="0" y="0"/>
                                  <a:ext cx="2106000" cy="923178"/>
                                </a:xfrm>
                                <a:prstGeom prst="rect"/>
                              </pic:spPr>
                            </pic:pic>
                          </a:graphicData>
                        </a:graphic>
                      </wp:inline>
                    </w:drawing>
                  </w:r>
                </w:p>
                <w:p>
                  <w:pPr>
                    <w:spacing w:after="60"/>
                    <w:jc w:val="center"/>
                  </w:pPr>
                  <w:r>
                    <w:rPr>
                      <w:rFonts w:ascii="맑은 고딕" w:hAnsi="맑은 고딕" w:eastAsia="맑은 고딕"/>
                      <w:b w:val="0"/>
                      <w:i w:val="0"/>
                    </w:rPr>
                    <w:t>p.63 설계 카드 — 예시(산소와의 반응)와 빈 카드(물과의 반응·염기성)[결과]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같은 족 원소들의 유사성을 탐구하는 실험 설계 (p.62~63)</w:t>
            </w:r>
          </w:p>
          <w:p>
            <w:r>
              <w:rPr>
                <w:rFonts w:ascii="맑은 고딕" w:hAnsi="맑은 고딕" w:eastAsia="맑은 고딕"/>
                <w:b w:val="0"/>
                <w:i w:val="0"/>
              </w:rPr>
              <w:t>문제 인식. 같은 족 원소들의 유사성을 탐구하려면 어떻게 실험을 설계해야 할까?</w:t>
            </w:r>
          </w:p>
          <w:p>
            <w:pPr>
              <w:ind w:left="170" w:hanging="170"/>
            </w:pPr>
            <w:r>
              <w:rPr>
                <w:rFonts w:ascii="맑은 고딕" w:hAnsi="맑은 고딕" w:eastAsia="맑은 고딕"/>
                <w:b w:val="0"/>
                <w:i w:val="0"/>
              </w:rPr>
              <w:t>1) 모둠별로 수소를 제외한 1족 원소의 서로 비슷한 성질을 조사해 보자. — A. 칼로 쉽게 잘릴 정도로 무르다. 공기 중의 산소와 빠르게 반응한다. 물과 반응하여 수소를 발생시킨다.</w:t>
            </w:r>
          </w:p>
          <w:p>
            <w:pPr>
              <w:ind w:left="170" w:hanging="170"/>
            </w:pPr>
            <w:r>
              <w:rPr>
                <w:rFonts w:ascii="맑은 고딕" w:hAnsi="맑은 고딕" w:eastAsia="맑은 고딕"/>
                <w:b w:val="0"/>
                <w:i w:val="0"/>
              </w:rPr>
              <w:t>2) 과정 1에서 조사한 성질 중 하나를 선택한 뒤 이를 탐구하기 위한 실험을 설계해 보자. (표 칸: 비슷한 성질 / 변인 설정 / 준비물 / 실험 과정 / 주의점)</w:t>
            </w:r>
          </w:p>
          <w:p>
            <w:pPr>
              <w:ind w:left="170" w:hanging="170"/>
            </w:pPr>
            <w:r>
              <w:rPr>
                <w:rFonts w:ascii="맑은 고딕" w:hAnsi="맑은 고딕" w:eastAsia="맑은 고딕"/>
                <w:b w:val="0"/>
                <w:i w:val="0"/>
              </w:rPr>
              <w:t>A. 비슷한 성질: 수소를 제외한 1족 원소는 물과 반응하여 기체가 발생한다. / 변인 설정: 조작 변인 — 금속의 종류, 종속 변인 — 기체 발생 여부, 통제 변인 — 금속의 크기, 물의 양 / 준비물: 리튬, 나트륨, 칼륨, 물, 비커, 핀셋, 보안경, 실험용 장갑, 실험복 / 실험 과정: 1. 쌀알 크기 정도로 자른 리튬을 물이 담긴 비커에 넣고 변화를 관찰한다. 2. 리튬 대신 나트륨과 칼륨을 사용하여 과정 1을 반복한다. / 주의점: 사용하고 남은 금속은 반드시 선생님께 반납한다.</w:t>
            </w:r>
          </w:p>
          <w:p>
            <w:pPr>
              <w:ind w:left="170" w:hanging="170"/>
            </w:pPr>
            <w:r>
              <w:rPr>
                <w:rFonts w:ascii="맑은 고딕" w:hAnsi="맑은 고딕" w:eastAsia="맑은 고딕"/>
                <w:b w:val="0"/>
                <w:i w:val="0"/>
              </w:rPr>
              <w:t>3) 모둠별로 설계한 실험을 온라인 협업 플랫폼에 올려 보자. (태블릿 화면 예시: 1 모둠 — [비슷한 성질]·[변인 설정]·[준비물]·[실험 과정]·[주의점] 1. 실험할 때에는 보안경을 반드시 착용한다. 2. 사용하고 남은 금속은 반드시 선생님께 반납한다.)</w:t>
            </w:r>
          </w:p>
          <w:p>
            <w:r>
              <w:rPr>
                <w:rFonts w:ascii="맑은 고딕" w:hAnsi="맑은 고딕" w:eastAsia="맑은 고딕"/>
                <w:b w:val="0"/>
                <w:i w:val="0"/>
              </w:rPr>
              <w:t>결과 및 정리 1. 다른 모둠에서 설계한 실험을 확인하여 적절성을 논의한 뒤 댓글을 달아 보자.</w:t>
            </w:r>
          </w:p>
          <w:p>
            <w:pPr>
              <w:ind w:left="170" w:hanging="170"/>
            </w:pPr>
            <w:r>
              <w:rPr>
                <w:rFonts w:ascii="맑은 고딕" w:hAnsi="맑은 고딕" w:eastAsia="맑은 고딕"/>
                <w:b w:val="0"/>
                <w:i w:val="0"/>
              </w:rPr>
              <w:t>A. 실험에서 물의 양을 통제해야 한다. 알칼리 금속을 자를 때 물기가 전혀 없는 유리판에서 자르는 과정을 추가하는 것이 좋을 것 같다.</w:t>
            </w:r>
          </w:p>
          <w:p>
            <w:r>
              <w:rPr>
                <w:rFonts w:ascii="맑은 고딕" w:hAnsi="맑은 고딕" w:eastAsia="맑은 고딕"/>
                <w:b w:val="0"/>
                <w:i w:val="0"/>
              </w:rPr>
              <w:t>결과 및 정리 2. 다른 모둠의 댓글을 확인한 뒤 설계한 실험을 보완해 보자.</w:t>
            </w:r>
          </w:p>
          <w:p>
            <w:pPr>
              <w:ind w:left="170" w:hanging="170"/>
            </w:pPr>
            <w:r>
              <w:rPr>
                <w:rFonts w:ascii="맑은 고딕" w:hAnsi="맑은 고딕" w:eastAsia="맑은 고딕"/>
                <w:b w:val="0"/>
                <w:i w:val="0"/>
              </w:rPr>
              <w:t>A. (예시 답안 없음 — 정리 1 댓글을 반영해 보완)</w:t>
            </w:r>
          </w:p>
          <w:p>
            <w:r>
              <w:rPr>
                <w:rFonts w:ascii="맑은 고딕" w:hAnsi="맑은 고딕" w:eastAsia="맑은 고딕"/>
                <w:b w:val="0"/>
                <w:i w:val="0"/>
              </w:rPr>
              <w:t>스스로 평가(p.62): [지식·이해] 수소를 제외한 1족 원소의 유사성을 이해하였는가? [과정·기능] 변인을 고려하여 실험을 설계하였는가? [가치·태도] 자신이 맡은 역할에 책임감을 가지고 실험을 설계할 때 모둠원의 의견을 존중하며 협력하였는가?</w:t>
            </w:r>
          </w:p>
          <w:p>
            <w:r>
              <w:rPr>
                <w:rFonts w:ascii="맑은 고딕" w:hAnsi="맑은 고딕" w:eastAsia="맑은 고딕"/>
                <w:b/>
                <w:i w:val="0"/>
              </w:rPr>
              <w:t>[확인하기] (p.63)</w:t>
            </w:r>
          </w:p>
          <w:p>
            <w:r>
              <w:rPr>
                <w:rFonts w:ascii="맑은 고딕" w:hAnsi="맑은 고딕" w:eastAsia="맑은 고딕"/>
                <w:b w:val="0"/>
                <w:i w:val="0"/>
              </w:rPr>
              <w:t>알칼리 금속은 (   )이/가 커서 산소, 물 등과 쉽게 반응한다. — A. 반응성</w:t>
            </w:r>
          </w:p>
        </w:tc>
        <w:tc>
          <w:tcPr>
            <w:tcW w:type="dxa" w:w="7200"/>
            <w:tcMar>
              <w:top w:w="22" w:type="dxa"/>
              <w:bottom w:w="22" w:type="dxa"/>
            </w:tcMar>
          </w:tcPr>
          <w:p>
            <w:r>
              <w:rPr>
                <w:rFonts w:ascii="맑은 고딕" w:hAnsi="맑은 고딕" w:eastAsia="맑은 고딕"/>
                <w:b/>
                <w:i w:val="0"/>
              </w:rPr>
              <w:t>[탐구] 같은 족 원소들의 유사성을 탐구하는 실험 설계하기 (p.63)</w:t>
            </w:r>
          </w:p>
          <w:p>
            <w:pPr>
              <w:ind w:left="170" w:hanging="170"/>
            </w:pPr>
            <w:r>
              <w:rPr>
                <w:rFonts w:ascii="맑은 고딕" w:hAnsi="맑은 고딕" w:eastAsia="맑은 고딕"/>
                <w:b w:val="0"/>
                <w:i w:val="0"/>
              </w:rPr>
              <w:t>1) 모둠별로 다음 준비물을 이용해 알칼리 금속의 유사한 성질을 탐구하는 실험을 설계해 보자. (그림 준비물: 수조, 알칼리 금속, 칼, 페트리접시, 핀셋, 보안경, 면장갑, 실험복, 페놀프탈레인 용액, 물, 실험용 고무장갑)</w:t>
            </w:r>
          </w:p>
          <w:p>
            <w:r>
              <w:rPr>
                <w:rFonts w:ascii="맑은 고딕" w:hAnsi="맑은 고딕" w:eastAsia="맑은 고딕"/>
                <w:b w:val="0"/>
                <w:i w:val="0"/>
              </w:rPr>
              <w:t>예시 카드. 공기 중의 산소와 빠르게 반응한다. — 준비물: 알칼리 금속, 칼, 핀셋, 페트리접시, 실험복, 보안경, 면장갑, 실험용 고무장갑 / 안전 사항: 반드시 보안경, 실험복 등 보호 장구를 착용하고, 남은 알칼리 금속은 선생님의 안내에 따라 지정된 장소에 보관한다. / 실험 과정: 페트리접시에 알칼리 금속 조각을 올려놓고 핀셋으로 잡은 뒤 칼로 잘라 단면을 관찰한다.</w:t>
            </w:r>
          </w:p>
          <w:p>
            <w:r>
              <w:rPr>
                <w:rFonts w:ascii="맑은 고딕" w:hAnsi="맑은 고딕" w:eastAsia="맑은 고딕"/>
                <w:b w:val="0"/>
                <w:i w:val="0"/>
              </w:rPr>
              <w:t>빈 카드. 실온에서 물과 격렬하게 반응하고, 반응한 뒤 수용액은 염기성을 띤다. — 준비물: / 안전 사항: / 실험 과정: (학생이 채움)</w:t>
            </w:r>
          </w:p>
          <w:p>
            <w:pPr>
              <w:ind w:left="170" w:hanging="170"/>
            </w:pPr>
            <w:r>
              <w:rPr>
                <w:rFonts w:ascii="맑은 고딕" w:hAnsi="맑은 고딕" w:eastAsia="맑은 고딕"/>
                <w:b w:val="0"/>
                <w:i w:val="0"/>
              </w:rPr>
              <w:t>→ 본문(p.62): 실온에서도 물과 격렬하게 반응하며, 반응한 뒤 수용액은 염기성을 띤다. / ?? 미래엔: 학생용이라 빈 카드의 예시 답안 없음</w:t>
            </w:r>
          </w:p>
          <w:p>
            <w:pPr>
              <w:ind w:left="170" w:hanging="170"/>
            </w:pPr>
            <w:r>
              <w:rPr>
                <w:rFonts w:ascii="맑은 고딕" w:hAnsi="맑은 고딕" w:eastAsia="맑은 고딕"/>
                <w:b w:val="0"/>
                <w:i w:val="0"/>
              </w:rPr>
              <w:t>2) [디지털] 과정 및 결과 1에서 설계한 내용을 공유 플랫폼에 올리고 발표해 보자.</w:t>
            </w:r>
          </w:p>
          <w:p>
            <w:r>
              <w:rPr>
                <w:rFonts w:ascii="맑은 고딕" w:hAnsi="맑은 고딕" w:eastAsia="맑은 고딕"/>
                <w:b w:val="0"/>
                <w:i w:val="0"/>
              </w:rPr>
              <w:t>정리. 실험 설계 내용을 서로 평가해 보자. (도움말: 실험의 적합성, 체계성 등을 평가한다.)</w:t>
            </w:r>
          </w:p>
          <w:p>
            <w:pPr>
              <w:ind w:left="170" w:hanging="170"/>
            </w:pPr>
            <w:r>
              <w:rPr>
                <w:rFonts w:ascii="맑은 고딕" w:hAnsi="맑은 고딕" w:eastAsia="맑은 고딕"/>
                <w:b w:val="0"/>
                <w:i w:val="0"/>
              </w:rPr>
              <w:t>→ 그림 말풍선(p.63): 많은 양의 물에 알칼리 금속 조각을 작게 잘라 넣으면 알칼리 금속이 물과 격렬하게 반응하는 것을 탐구하기에 적합해. / ?? 미래엔: 학생용이라 예시 답안 없음</w:t>
            </w:r>
          </w:p>
          <w:p>
            <w:r>
              <w:rPr>
                <w:rFonts w:ascii="맑은 고딕" w:hAnsi="맑은 고딕" w:eastAsia="맑은 고딕"/>
                <w:b w:val="0"/>
                <w:i w:val="0"/>
              </w:rPr>
              <w:t>스스로 평가하기(p.63): [지식·이해] 같은 족 원소들의 유사성을 설명할 수 있나요? [과정·기능] 원소들의 유사성을 탐구하는 실험을 설계했나요? [가치·태도] 안전 사항을 고려해 실험을 설계했나요? / 탐구 돌아보기: 탐구를 한 뒤 더 궁금한 내용이 있으면 써 보자.</w:t>
            </w:r>
          </w:p>
          <w:p>
            <w:r>
              <w:rPr>
                <w:rFonts w:ascii="맑은 고딕" w:hAnsi="맑은 고딕" w:eastAsia="맑은 고딕"/>
                <w:b/>
                <w:i w:val="0"/>
              </w:rPr>
              <w:t>[스스로 확인하기] (p.62)</w:t>
            </w:r>
          </w:p>
          <w:p>
            <w:pPr>
              <w:ind w:left="170" w:hanging="170"/>
            </w:pPr>
            <w:r>
              <w:rPr>
                <w:rFonts w:ascii="맑은 고딕" w:hAnsi="맑은 고딕" w:eastAsia="맑은 고딕"/>
                <w:b w:val="0"/>
                <w:i w:val="0"/>
              </w:rPr>
              <w:t>1. 주기율표의 세로줄을 (   )(이)라고 한다. → 본문: 족(p.60 ‘주기율표의 세로줄을 족이라고 하며, 1족부터 18족까지 있다.’)</w:t>
            </w:r>
          </w:p>
          <w:p>
            <w:pPr>
              <w:ind w:left="170" w:hanging="170"/>
            </w:pPr>
            <w:r>
              <w:rPr>
                <w:rFonts w:ascii="맑은 고딕" w:hAnsi="맑은 고딕" w:eastAsia="맑은 고딕"/>
                <w:b w:val="0"/>
                <w:i w:val="0"/>
              </w:rPr>
              <w:t>2. 알칼리 금속은 주기율표의 1족에 속하고, 물과 격렬하게 반응한다. (○, ×) → 본문: ○(p.62 ‘주기율표의 1족 원소 중에서 수소를 제외한 … 알칼리 금속’, ‘실온에서도 물과 격렬하게 반응하며’)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조사(글·사진·동영상으로 1족 원소의 비슷한 성질) · 분류(수소를 1족에서 제외) · 예상(선택한 성질이 리튬·나트륨·칼륨에서 똑같이 나타날 것) · 의사소통(온라인 협업 플랫폼에 설계 공유, 댓글)</w:t>
            </w:r>
          </w:p>
          <w:p>
            <w:r>
              <w:rPr>
                <w:rFonts w:ascii="맑은 고딕" w:hAnsi="맑은 고딕" w:eastAsia="맑은 고딕"/>
                <w:b w:val="0"/>
                <w:i w:val="0"/>
              </w:rPr>
              <w:t>통합: 문제 인식 · 실험 설계(성질 선택 → 변인 설정 → 준비물 → 실험 과정 → 주의점 표) · 평가와 보완(다른 모둠 설계의 적절성 논의 → 자기 설계 보완) / 변인 통제 — 학생이 정할 것: 조사한 성질 중 무엇을 고를지, 그에 맞는 조작·종속·통제 변인 / 교과서 예시(교사용): 조작 변인 = 금속의 종류(리튬·나트륨·칼륨), 종속 변인 = 기체 발생 여부, 통제 변인 = 금속의 크기(쌀알 크기)·물의 양 — 물의 양은 표에 이미 통제 변인으로 있는데 정리 1 예시 답안에서 다시 ‘통제해야 한다’고 써서 서로 맞지 않음, 종속 변인이 ‘기체 발생 여부’(있다/없다)뿐이라 수소인지 확인하거나 수용액의 염기성(페놀프탈레인)을 보는 장치는 설계 예시에 없음</w:t>
            </w:r>
          </w:p>
          <w:p>
            <w:r>
              <w:rPr>
                <w:rFonts w:ascii="맑은 고딕" w:hAnsi="맑은 고딕" w:eastAsia="맑은 고딕"/>
                <w:b w:val="0"/>
                <w:i w:val="0"/>
              </w:rPr>
              <w:t>교과서 표기: 탐구 기능 ‘조사, 실험 설계’ / 문제 인식 → 과정 1 조사 → 과정 2 설계 → 과정 3 공유 → 결과 및 정리 1·2(동료 평가·보완) / 활동 길잡이에 조작·종속·통제 변인 정의 / 스스로 평가(지식·이해, 과정·기능, 가치·태도)</w:t>
            </w:r>
          </w:p>
        </w:tc>
        <w:tc>
          <w:tcPr>
            <w:tcW w:type="dxa" w:w="7200"/>
            <w:tcMar>
              <w:top w:w="22" w:type="dxa"/>
              <w:bottom w:w="22" w:type="dxa"/>
            </w:tcMar>
          </w:tcPr>
          <w:p>
            <w:r>
              <w:rPr>
                <w:rFonts w:ascii="맑은 고딕" w:hAnsi="맑은 고딕" w:eastAsia="맑은 고딕"/>
                <w:b w:val="0"/>
                <w:i w:val="0"/>
              </w:rPr>
              <w:t>기초: 관찰(준비물 그림 확인) · 예상(빈 카드의 성질 ‘물과 격렬한 반응·염기성’이 알칼리 금속에서 똑같이 나타날 것) · 의사소통(공유 플랫폼에 올리고 발표)</w:t>
            </w:r>
          </w:p>
          <w:p>
            <w:r>
              <w:rPr>
                <w:rFonts w:ascii="맑은 고딕" w:hAnsi="맑은 고딕" w:eastAsia="맑은 고딕"/>
                <w:b w:val="0"/>
                <w:i w:val="0"/>
              </w:rPr>
              <w:t>통합: 실험 설계(준비물·안전 사항·실험 과정 카드) · 평가(실험의 적합성·체계성 기준 동료 평가) · 디지털 도구(가상 실험 애플리케이션으로 실현 가능성 점검) / 변인 통제 — 학생이 정할 것: 카드에 ‘변인’ 칸이 없어 변인 설정을 요구하지 않음. 빈 카드에서 학생이 스스로 떠올려야 할 변인: 조작 변인 = 알칼리 금속의 종류, 종속 변인 = 물과의 반응(기체 발생·격렬함)과 페놀프탈레인 용액의 색 변화, 통제 변인 = 금속 조각의 크기·물의 양(수조)·페놀프탈레인 양 / 교과서 예시 카드(산소와의 반응)는 변인 없이 ‘단면 관찰’ 과정만 제시, 여러 금속을 비교하는 단계도 없음</w:t>
            </w:r>
          </w:p>
          <w:p>
            <w:r>
              <w:rPr>
                <w:rFonts w:ascii="맑은 고딕" w:hAnsi="맑은 고딕" w:eastAsia="맑은 고딕"/>
                <w:b w:val="0"/>
                <w:i w:val="0"/>
              </w:rPr>
              <w:t>교과서 표기: 탐구 설계 및 수행 | 의사소통과 협업 / 탐구 능력 · 문제 해결 능력 / 과정 및 결과 1(설계) → 2(디지털 공유·발표) → 정리(서로 평가) / 스스로 평가하기(지식·이해, 과정·기능, 가치·태도), 가치·태도 길잡이, 탐구 돌아보기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탐구의 목적은 ‘알칼리 금속이 물과 반응한다’를 확인하는 것일까, ‘같은 족 원소들은 같은 방식으로 반응한다’를 확인하는 것일까? 목적에 따라 실험 과정은 어떻게 달라져야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예시 설계에서 조작 변인은 금속의 종류, 종속 변인은 기체 발생 여부이다. 세 금속 모두 기체가 발생했다면 ‘유사하다’는 결론의 근거는 조작 변인의 효과일까, 효과가 없음일까? 반응의 격렬함 차이는 어떻게 다뤄야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발생한 기체가 수소이고 수용액이 염기성이라는 것을 확인하려면 설계에 무엇을 더해야 할까? (탐구 배경 지식의 페놀프탈레인 용액)</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실험을 설계하기 전에 학생에게 미리 알려줘야 할 정보는 무엇일까? (알칼리 금속의 보관법, 쌀알 크기로 자르기, 남은 금속 처리, 수소를 제외하는 까닭)</w:t>
            </w:r>
          </w:p>
          <w:p>
            <w:pPr>
              <w:ind w:left="170" w:hanging="170"/>
            </w:pPr>
            <w:r>
              <w:rPr>
                <w:rFonts w:ascii="맑은 고딕" w:hAnsi="맑은 고딕" w:eastAsia="맑은 고딕"/>
                <w:b/>
                <w:i w:val="0"/>
              </w:rPr>
              <w:t xml:space="preserve">Q. </w:t>
            </w:r>
            <w:r>
              <w:rPr>
                <w:rFonts w:ascii="맑은 고딕" w:hAnsi="맑은 고딕" w:eastAsia="맑은 고딕"/>
                <w:b w:val="0"/>
                <w:i w:val="0"/>
              </w:rPr>
              <w:t>1족만 설계했다면 17족 할로젠의 유사성은 어떤 성질(특유의 색, 수소·나트륨과의 반응)로 확인할 수 있을까? 학교에서 직접 실험하기 어렵다면 어떤 자료로 대신할까?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리튬·나트륨·칼륨이 비슷하게 반응하는 까닭을 ‘전자 1 개를 잃고 싶어서’라고 설명해도 될까? 다음 차시 전자 배치를 배운 뒤 무엇이라고 바꿔 말해야 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예시 카드는 알칼리 금속 한 가지의 단면만 관찰한다. 이것으로 ‘같은 족 원소들의 유사성’을 보였다고 할 수 있을까? 무엇을 더 비교해야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카드에 변인 칸이 없다. 빈 카드(물과의 반응·염기성)를 채울 때 조작·종속·통제 변인은 각각 무엇으로 정해야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준비물에 페놀프탈레인 용액과 수조가 있는 까닭은 무엇일까? 이 준비물로 확인할 수 있는 성질은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말풍선의 ‘많은 양의 물에 작게 잘라 넣는다’는 어떤 기준(적합성·체계성·안전)에서 좋은 설계일까?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본문 결론(p.62)이 탐구보다 먼저 나온다. 결론을 이미 알고 설계하는 탐구에서 학생이 스스로 정해야 할 것은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할로젠은 특유의 색을 띠고 다른 원소와 잘 반응한다. 같은 족의 성질이 비슷하다는 것을 17족에서는 어떻게 확인할 수 있을까?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실험할 때에는 보안경을 반드시 착용한다(p.62 태블릿 예시 주의점) / 사용하고 남은 금속은 반드시 선생님께 반납한다(p.62 주의점 예시 답안)</w:t>
            </w:r>
          </w:p>
          <w:p>
            <w:pPr>
              <w:ind w:left="170" w:hanging="170"/>
            </w:pPr>
            <w:r>
              <w:rPr>
                <w:rFonts w:ascii="맑은 고딕" w:hAnsi="맑은 고딕" w:eastAsia="맑은 고딕"/>
                <w:b w:val="0"/>
                <w:i w:val="0"/>
              </w:rPr>
              <w:t>• 실험에 사용하고 남은 알칼리 금속은 석유나 유기 용매에 보관하거나 후드 안에서 에탄올에 넣어 처리한다 — 에탄올에서는 반응이 천천히 일어나 안전하게 제거할 수 있다(p.63 보충, 교사용)</w:t>
            </w:r>
          </w:p>
          <w:p>
            <w:pPr>
              <w:ind w:left="170" w:hanging="170"/>
            </w:pPr>
            <w:r>
              <w:rPr>
                <w:rFonts w:ascii="맑은 고딕" w:hAnsi="맑은 고딕" w:eastAsia="맑은 고딕"/>
                <w:b w:val="0"/>
                <w:i w:val="0"/>
              </w:rPr>
              <w:t>• 알칼리 금속은 쌀알 크기 정도로 작게 잘라 사용한다(쌀알 크기는 p.62 실험 과정 예시, 자를 때 물기가 전혀 없는 유리판에서 자르는 과정은 p.63 결과 및 정리 예시 답안)</w:t>
            </w:r>
          </w:p>
          <w:p>
            <w:pPr>
              <w:ind w:left="170" w:hanging="170"/>
            </w:pPr>
            <w:r>
              <w:rPr>
                <w:rFonts w:ascii="맑은 고딕" w:hAnsi="맑은 고딕" w:eastAsia="맑은 고딕"/>
                <w:b w:val="0"/>
                <w:i w:val="0"/>
              </w:rPr>
              <w:t>• 칼륨은 리튬·나트륨보다 반응성이 커서 물과 격렬하게 반응하므로 교사 시범 또는 영상으로 대체를 검토 — 교과서에 칼륨 직접 실험의 위험 언급 없음</w:t>
            </w:r>
          </w:p>
          <w:p>
            <w:pPr>
              <w:ind w:left="170" w:hanging="170"/>
            </w:pPr>
            <w:r>
              <w:rPr>
                <w:rFonts w:ascii="맑은 고딕" w:hAnsi="맑은 고딕" w:eastAsia="맑은 고딕"/>
                <w:b w:val="0"/>
                <w:i w:val="0"/>
              </w:rPr>
              <w:t>• 설계만 하고 실행 단계가 없음 → 실제 수행 시에는 교사가 설계를 검토한 뒤 진행</w:t>
            </w:r>
          </w:p>
          <w:p>
            <w:pPr>
              <w:ind w:left="170" w:hanging="170"/>
            </w:pPr>
            <w:r>
              <w:rPr>
                <w:rFonts w:ascii="맑은 고딕" w:hAnsi="맑은 고딕" w:eastAsia="맑은 고딕"/>
                <w:b w:val="0"/>
                <w:i w:val="0"/>
              </w:rPr>
              <w:t>☐ 수소 제외 안내  ☐ 조사한 성질 중 하나 선택  ☐ 조작·종속·통제 변인 표에 쓰기  ☐ 금속 크기(쌀알)·물의 양 같게  ☐ 보안경·실험용 장갑·실험복  ☐ 남은 금속 반납  ☐ 협업 플랫폼 공유·댓글·보완</w:t>
            </w:r>
          </w:p>
        </w:tc>
        <w:tc>
          <w:tcPr>
            <w:tcW w:type="dxa" w:w="7200"/>
            <w:tcMar>
              <w:top w:w="22" w:type="dxa"/>
              <w:bottom w:w="22" w:type="dxa"/>
            </w:tcMar>
          </w:tcPr>
          <w:p>
            <w:pPr>
              <w:ind w:left="170" w:hanging="170"/>
            </w:pPr>
            <w:r>
              <w:rPr>
                <w:rFonts w:ascii="맑은 고딕" w:hAnsi="맑은 고딕" w:eastAsia="맑은 고딕"/>
                <w:b w:val="0"/>
                <w:i w:val="0"/>
              </w:rPr>
              <w:t>• 반드시 보안경, 실험복 등 보호 장구를 착용하고, 남은 알칼리 금속은 선생님의 안내에 따라 지정된 장소에 보관한다(p.63 예시 카드 안전 사항)</w:t>
            </w:r>
          </w:p>
          <w:p>
            <w:pPr>
              <w:ind w:left="170" w:hanging="170"/>
            </w:pPr>
            <w:r>
              <w:rPr>
                <w:rFonts w:ascii="맑은 고딕" w:hAnsi="맑은 고딕" w:eastAsia="맑은 고딕"/>
                <w:b w:val="0"/>
                <w:i w:val="0"/>
              </w:rPr>
              <w:t>• 알칼리 금속이 산소, 물과 반응하는 것을 막기 위해 석유나 파라핀에 담가 밀폐해서 보관한다(p.62 그림 Ⅱ-15 말풍선)</w:t>
            </w:r>
          </w:p>
          <w:p>
            <w:pPr>
              <w:ind w:left="170" w:hanging="170"/>
            </w:pPr>
            <w:r>
              <w:rPr>
                <w:rFonts w:ascii="맑은 고딕" w:hAnsi="맑은 고딕" w:eastAsia="맑은 고딕"/>
                <w:b w:val="0"/>
                <w:i w:val="0"/>
              </w:rPr>
              <w:t>• 지능형과학실ON 누리집 ‘학습 자료실-실험 안전’의 과학 실험 안전 사항을 참고한다(p.63 도움말) / 가상 실험 애플리케이션으로 설계한 실험이 실현 가능한지 점검(p.63 디지털 탐색)</w:t>
            </w:r>
          </w:p>
          <w:p>
            <w:pPr>
              <w:ind w:left="170" w:hanging="170"/>
            </w:pPr>
            <w:r>
              <w:rPr>
                <w:rFonts w:ascii="맑은 고딕" w:hAnsi="맑은 고딕" w:eastAsia="맑은 고딕"/>
                <w:b w:val="0"/>
                <w:i w:val="0"/>
              </w:rPr>
              <w:t>• 많은 양의 물에 알칼리 금속 조각을 작게 잘라 넣는다(p.63 말풍선) — 수조 사용, 남은 알칼리 금속 처리 방법(에탄올 등)은 교과서에 없음</w:t>
            </w:r>
          </w:p>
          <w:p>
            <w:pPr>
              <w:ind w:left="170" w:hanging="170"/>
            </w:pPr>
            <w:r>
              <w:rPr>
                <w:rFonts w:ascii="맑은 고딕" w:hAnsi="맑은 고딕" w:eastAsia="맑은 고딕"/>
                <w:b w:val="0"/>
                <w:i w:val="0"/>
              </w:rPr>
              <w:t>• 설계만 하고 실행 단계가 없음 → 실제 수행 시에는 교사가 설계를 검토한 뒤 진행</w:t>
            </w:r>
          </w:p>
          <w:p>
            <w:pPr>
              <w:ind w:left="170" w:hanging="170"/>
            </w:pPr>
            <w:r>
              <w:rPr>
                <w:rFonts w:ascii="맑은 고딕" w:hAnsi="맑은 고딕" w:eastAsia="맑은 고딕"/>
                <w:b w:val="0"/>
                <w:i w:val="0"/>
              </w:rPr>
              <w:t>☐ 카드의 성질 확인  ☐ 준비물 고르기  ☐ 안전 사항 쓰기(보호 장구·보관)  ☐ 금속 종류만 바꾸고 크기·물의 양 같게  ☐ 가상 실험으로 점검  ☐ 공유 플랫폼 발표·적합성·체계성 평가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‘같은 족 원소들의 유사성을 탐구하는 실험 설계하기’를 제목으로 사용하고, 조사(과정 1) → 성질 선택·설계(과정 2) → 공유(과정 3) → 동료 평가·보완(결과 및 정리 1·2)까지 설계의 순환을 갖춤</w:t>
            </w:r>
          </w:p>
          <w:p>
            <w:r>
              <w:rPr>
                <w:rFonts w:ascii="맑은 고딕" w:hAnsi="맑은 고딕" w:eastAsia="맑은 고딕"/>
                <w:b w:val="0"/>
                <w:i w:val="0"/>
              </w:rPr>
              <w:t>✔ 설계 표에 ‘변인 설정’ 칸을 두고 활동 길잡이에서 조작·종속·통제 변인을 정의 → 과정·기능(변인을 고려한 실험 설계)을 직접 평가할 수 있음 / 온라인 협업 플랫폼·댓글로 의사소통과 협업</w:t>
            </w:r>
          </w:p>
          <w:p>
            <w:r>
              <w:rPr>
                <w:rFonts w:ascii="맑은 고딕" w:hAnsi="맑은 고딕" w:eastAsia="맑은 고딕"/>
                <w:b w:val="0"/>
                <w:i w:val="0"/>
              </w:rPr>
              <w:t>✔ 본문 p.63에서 알칼리 금속(무름, 산소·물과 반응)과 할로젠(특유의 색, 수소와 반응해 산 생성, 나트륨과 반응해 염화 나트륨)을 그림 Ⅱ-17·18로 함께 제시 → 해설 ‘1족과 17족 원소를 통해 동족 원소는 유사한 화학적 성질’ 충족</w:t>
            </w:r>
          </w:p>
          <w:p>
            <w:r>
              <w:rPr>
                <w:rFonts w:ascii="맑은 고딕" w:hAnsi="맑은 고딕" w:eastAsia="맑은 고딕"/>
                <w:b/>
                <w:i w:val="0"/>
              </w:rPr>
              <w:t>△ 탐구는 1족(알칼리 금속)만 설계하고 17족은 본문에서만 다룸(교사용 탐구 유의점도 알칼리 금속만 안내) → 해설의 ‘1족과 17족’을 탐구에서는 반만 다룸</w:t>
            </w:r>
          </w:p>
          <w:p>
            <w:r>
              <w:rPr>
                <w:rFonts w:ascii="맑은 고딕" w:hAnsi="맑은 고딕" w:eastAsia="맑은 고딕"/>
                <w:b/>
                <w:i w:val="0"/>
              </w:rPr>
              <w:t>△ 예시 설계는 조작 변인 ‘금속의 종류’, 종속 변인 ‘기체 발생 여부’로 ‘차이가 없음’을 보여 유사성을 말하는 구조라 변인 통제 실험의 틀과 잘 맞지 않음, 수소 확인·염기성(페놀프탈레인) 확인이 없음 / 정리 1 예시 답안 ‘물의 양을 통제해야 한다’는 표의 통제 변인과 중복</w:t>
            </w:r>
          </w:p>
          <w:p>
            <w:r>
              <w:rPr>
                <w:rFonts w:ascii="맑은 고딕" w:hAnsi="맑은 고딕" w:eastAsia="맑은 고딕"/>
                <w:b/>
                <w:i w:val="0"/>
              </w:rPr>
              <w:t>△ 실험을 실행하는 단계가 없어 ‘현상을 통해 규칙성을 도출’이 설계와 본문 서술에 머묾 / 원자 번호에 따른 반응성 경향(Li&lt;Na&lt;K&lt;Rb&lt;Cs)은 교사용 보충에만 있음</w:t>
            </w:r>
          </w:p>
          <w:p>
            <w:r>
              <w:rPr>
                <w:rFonts w:ascii="맑은 고딕" w:hAnsi="맑은 고딕" w:eastAsia="맑은 고딕"/>
                <w:b w:val="0"/>
                <w:i w:val="0"/>
              </w:rPr>
              <w:t>※ 비교: 비상은 조사 → 성질 선택 → 변인 설정까지 학생이 정하는 열린 설계(조작·종속·통제 변인 칸, 활동 길잡이), 협업 플랫폼 댓글로 보완 / 미래엔은 준비물 그림과 성질 카드(산소와의 반응 예시, 물과의 반응·염기성 빈칸)를 주는 닫힌 설계로 변인 칸이 없음. 두 교과서 모두 17족은 본문에서만 다루고 설계를 실행하지 않음</w:t>
            </w:r>
          </w:p>
        </w:tc>
        <w:tc>
          <w:tcPr>
            <w:tcW w:type="dxa" w:w="7200"/>
            <w:tcMar>
              <w:top w:w="22" w:type="dxa"/>
              <w:bottom w:w="22" w:type="dxa"/>
            </w:tcMar>
          </w:tcPr>
          <w:p>
            <w:r>
              <w:rPr>
                <w:rFonts w:ascii="맑은 고딕" w:hAnsi="맑은 고딕" w:eastAsia="맑은 고딕"/>
                <w:b w:val="0"/>
                <w:i w:val="0"/>
              </w:rPr>
              <w:t>✔ 교육과정 탐구 활동 ‘같은 족 원소들의 유사성을 탐구하는 실험 설계하기’를 제목 그대로 사용, 탐구 설계 및 수행 | 의사소통과 협업으로 설계 → 공유 플랫폼 발표 → 서로 평가(적합성·체계성) 구성</w:t>
            </w:r>
          </w:p>
          <w:p>
            <w:r>
              <w:rPr>
                <w:rFonts w:ascii="맑은 고딕" w:hAnsi="맑은 고딕" w:eastAsia="맑은 고딕"/>
                <w:b w:val="0"/>
                <w:i w:val="0"/>
              </w:rPr>
              <w:t>✔ 본문 p.62에서 알칼리 금속(밀도가 작고 무름, 산소와 빠르게 반응, 물과 격렬하게 반응·수용액 염기성)과 할로젠(특유의 색, 수소·알칼리 금속 등과 잘 반응)을 다룬 뒤 ‘같은 족 원소들은 성질이 유사하다 → 일정한 원자 번호 간격으로 반복 → 주기성’으로 일반화 → 성취기준 ‘주기성을 나타내는 현상을 통해 자연의 규칙성을 도출’ 직접 진술</w:t>
            </w:r>
          </w:p>
          <w:p>
            <w:r>
              <w:rPr>
                <w:rFonts w:ascii="맑은 고딕" w:hAnsi="맑은 고딕" w:eastAsia="맑은 고딕"/>
                <w:b w:val="0"/>
                <w:i w:val="0"/>
              </w:rPr>
              <w:t>✔ 그림 Ⅱ-15에서 1족·17족 원소를 주기율표 위치와 실물 사진(리튬·나트륨·칼륨 보관병, 플루오린~아이오딘)으로 함께 제시 → 해설 ‘1족과 17족’ 반영 / 가상 실험 애플리케이션으로 실현 가능성 점검(디지털 소양)</w:t>
            </w:r>
          </w:p>
          <w:p>
            <w:r>
              <w:rPr>
                <w:rFonts w:ascii="맑은 고딕" w:hAnsi="맑은 고딕" w:eastAsia="맑은 고딕"/>
                <w:b/>
                <w:i w:val="0"/>
              </w:rPr>
              <w:t>△ 설계 카드에 변인 칸이 없고, 예시 카드도 알칼리 금속 한 가지의 단면 관찰만 제시 → ‘같은 족 원소들 사이의 비교’와 변인 통제가 설계 요구에서 빠짐</w:t>
            </w:r>
          </w:p>
          <w:p>
            <w:r>
              <w:rPr>
                <w:rFonts w:ascii="맑은 고딕" w:hAnsi="맑은 고딕" w:eastAsia="맑은 고딕"/>
                <w:b/>
                <w:i w:val="0"/>
              </w:rPr>
              <w:t>△ 탐구 대상이 알칼리 금속뿐이고 할로젠은 본문·그림에만 있음 / 결론(p.62)이 탐구(p.63)보다 앞에 있어 학생이 결론을 알고 설계함</w:t>
            </w:r>
          </w:p>
          <w:p>
            <w:r>
              <w:rPr>
                <w:rFonts w:ascii="맑은 고딕" w:hAnsi="맑은 고딕" w:eastAsia="맑은 고딕"/>
                <w:b/>
                <w:i w:val="0"/>
              </w:rPr>
              <w:t>△ 남은 알칼리 금속의 처리 방법, 칼륨의 격렬한 반응 위험은 학생 지면에 없음(‘지정된 장소에 보관’만 있음)</w:t>
            </w:r>
          </w:p>
          <w:p>
            <w:r>
              <w:rPr>
                <w:rFonts w:ascii="맑은 고딕" w:hAnsi="맑은 고딕" w:eastAsia="맑은 고딕"/>
                <w:b w:val="0"/>
                <w:i w:val="0"/>
              </w:rPr>
              <w:t>※ 비교: 미래엔은 준비물과 성질을 정해 주는 닫힌 설계로 실현 가능성·안전을 강조(가상 실험, 지능형과학실ON), 본문에서 ‘주기성’까지 일반화 문장을 씀 / 비상은 조사와 변인 설정을 학생에게 맡기는 열린 설계지만 본문에 ‘주기성’ 일반화 문장이 없고 원자 번호에 따른 경향은 교사용에만 있음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26749"/>
                        <wp:docPr id="5" name="Picture 5"/>
                        <wp:cNvGraphicFramePr>
                          <a:graphicFrameLocks noChangeAspect="1"/>
                        </wp:cNvGraphicFramePr>
                        <a:graphic>
                          <a:graphicData uri="http://schemas.openxmlformats.org/drawingml/2006/picture">
                            <pic:pic>
                              <pic:nvPicPr>
                                <pic:cNvPr id="0" name="T201_vb1.jpg"/>
                                <pic:cNvPicPr/>
                              </pic:nvPicPr>
                              <pic:blipFill>
                                <a:blip r:embed="rId13"/>
                                <a:stretch>
                                  <a:fillRect/>
                                </a:stretch>
                              </pic:blipFill>
                              <pic:spPr>
                                <a:xfrm>
                                  <a:off x="0" y="0"/>
                                  <a:ext cx="2106000" cy="326749"/>
                                </a:xfrm>
                                <a:prstGeom prst="rect"/>
                              </pic:spPr>
                            </pic:pic>
                          </a:graphicData>
                        </a:graphic>
                      </wp:inline>
                    </w:drawing>
                  </w:r>
                </w:p>
                <w:p>
                  <w:pPr>
                    <w:spacing w:after="60"/>
                    <w:jc w:val="center"/>
                  </w:pPr>
                  <w:r>
                    <w:rPr>
                      <w:rFonts w:ascii="맑은 고딕" w:hAnsi="맑은 고딕" w:eastAsia="맑은 고딕"/>
                      <w:b w:val="0"/>
                      <w:i w:val="0"/>
                    </w:rPr>
                    <w:t>p.62 본문 도입(원소의 성질이 주기적으로 나타남)</w:t>
                  </w:r>
                </w:p>
              </w:tc>
              <w:tc>
                <w:tcPr>
                  <w:tcW w:type="dxa" w:w="3487"/>
                  <w:vAlign w:val="top"/>
                </w:tcPr>
                <w:p>
                  <w:pPr>
                    <w:spacing w:line="240" w:lineRule="auto"/>
                    <w:jc w:val="center"/>
                  </w:pPr>
                  <w:r>
                    <w:drawing>
                      <wp:inline xmlns:a="http://schemas.openxmlformats.org/drawingml/2006/main" xmlns:pic="http://schemas.openxmlformats.org/drawingml/2006/picture">
                        <wp:extent cx="2106000" cy="319091"/>
                        <wp:docPr id="6" name="Picture 6"/>
                        <wp:cNvGraphicFramePr>
                          <a:graphicFrameLocks noChangeAspect="1"/>
                        </wp:cNvGraphicFramePr>
                        <a:graphic>
                          <a:graphicData uri="http://schemas.openxmlformats.org/drawingml/2006/picture">
                            <pic:pic>
                              <pic:nvPicPr>
                                <pic:cNvPr id="0" name="T201_vb2.jpg"/>
                                <pic:cNvPicPr/>
                              </pic:nvPicPr>
                              <pic:blipFill>
                                <a:blip r:embed="rId14"/>
                                <a:stretch>
                                  <a:fillRect/>
                                </a:stretch>
                              </pic:blipFill>
                              <pic:spPr>
                                <a:xfrm>
                                  <a:off x="0" y="0"/>
                                  <a:ext cx="2106000" cy="319091"/>
                                </a:xfrm>
                                <a:prstGeom prst="rect"/>
                              </pic:spPr>
                            </pic:pic>
                          </a:graphicData>
                        </a:graphic>
                      </wp:inline>
                    </w:drawing>
                  </w:r>
                </w:p>
                <w:p>
                  <w:pPr>
                    <w:spacing w:after="60"/>
                    <w:jc w:val="center"/>
                  </w:pPr>
                  <w:r>
                    <w:rPr>
                      <w:rFonts w:ascii="맑은 고딕" w:hAnsi="맑은 고딕" w:eastAsia="맑은 고딕"/>
                      <w:b w:val="0"/>
                      <w:i w:val="0"/>
                    </w:rPr>
                    <w:t>p.61 본문(주기·족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23768"/>
                        <wp:docPr id="7" name="Picture 7"/>
                        <wp:cNvGraphicFramePr>
                          <a:graphicFrameLocks noChangeAspect="1"/>
                        </wp:cNvGraphicFramePr>
                        <a:graphic>
                          <a:graphicData uri="http://schemas.openxmlformats.org/drawingml/2006/picture">
                            <pic:pic>
                              <pic:nvPicPr>
                                <pic:cNvPr id="0" name="T201_vb3.jpg"/>
                                <pic:cNvPicPr/>
                              </pic:nvPicPr>
                              <pic:blipFill>
                                <a:blip r:embed="rId15"/>
                                <a:stretch>
                                  <a:fillRect/>
                                </a:stretch>
                              </pic:blipFill>
                              <pic:spPr>
                                <a:xfrm>
                                  <a:off x="0" y="0"/>
                                  <a:ext cx="2106000" cy="423768"/>
                                </a:xfrm>
                                <a:prstGeom prst="rect"/>
                              </pic:spPr>
                            </pic:pic>
                          </a:graphicData>
                        </a:graphic>
                      </wp:inline>
                    </w:drawing>
                  </w:r>
                </w:p>
                <w:p>
                  <w:pPr>
                    <w:spacing w:after="60"/>
                    <w:jc w:val="center"/>
                  </w:pPr>
                  <w:r>
                    <w:rPr>
                      <w:rFonts w:ascii="맑은 고딕" w:hAnsi="맑은 고딕" w:eastAsia="맑은 고딕"/>
                      <w:b w:val="0"/>
                      <w:i w:val="0"/>
                    </w:rPr>
                    <w:t>p.63 본문(알칼리 금속의 정의와 성질)</w:t>
                  </w:r>
                </w:p>
              </w:tc>
              <w:tc>
                <w:tcPr>
                  <w:tcW w:type="dxa" w:w="3487"/>
                  <w:vAlign w:val="top"/>
                </w:tcPr>
                <w:p>
                  <w:pPr>
                    <w:spacing w:line="240" w:lineRule="auto"/>
                    <w:jc w:val="center"/>
                  </w:pPr>
                  <w:r>
                    <w:drawing>
                      <wp:inline xmlns:a="http://schemas.openxmlformats.org/drawingml/2006/main" xmlns:pic="http://schemas.openxmlformats.org/drawingml/2006/picture">
                        <wp:extent cx="2106000" cy="775624"/>
                        <wp:docPr id="8" name="Picture 8"/>
                        <wp:cNvGraphicFramePr>
                          <a:graphicFrameLocks noChangeAspect="1"/>
                        </wp:cNvGraphicFramePr>
                        <a:graphic>
                          <a:graphicData uri="http://schemas.openxmlformats.org/drawingml/2006/picture">
                            <pic:pic>
                              <pic:nvPicPr>
                                <pic:cNvPr id="0" name="T201_vb4.jpg"/>
                                <pic:cNvPicPr/>
                              </pic:nvPicPr>
                              <pic:blipFill>
                                <a:blip r:embed="rId16"/>
                                <a:stretch>
                                  <a:fillRect/>
                                </a:stretch>
                              </pic:blipFill>
                              <pic:spPr>
                                <a:xfrm>
                                  <a:off x="0" y="0"/>
                                  <a:ext cx="2106000" cy="775624"/>
                                </a:xfrm>
                                <a:prstGeom prst="rect"/>
                              </pic:spPr>
                            </pic:pic>
                          </a:graphicData>
                        </a:graphic>
                      </wp:inline>
                    </w:drawing>
                  </w:r>
                </w:p>
                <w:p>
                  <w:pPr>
                    <w:spacing w:after="60"/>
                    <w:jc w:val="center"/>
                  </w:pPr>
                  <w:r>
                    <w:rPr>
                      <w:rFonts w:ascii="맑은 고딕" w:hAnsi="맑은 고딕" w:eastAsia="맑은 고딕"/>
                      <w:b w:val="0"/>
                      <w:i w:val="0"/>
                    </w:rPr>
                    <w:t>p.63 그림 Ⅱ-17 알칼리 금속의 성질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28905"/>
                        <wp:docPr id="9" name="Picture 9"/>
                        <wp:cNvGraphicFramePr>
                          <a:graphicFrameLocks noChangeAspect="1"/>
                        </wp:cNvGraphicFramePr>
                        <a:graphic>
                          <a:graphicData uri="http://schemas.openxmlformats.org/drawingml/2006/picture">
                            <pic:pic>
                              <pic:nvPicPr>
                                <pic:cNvPr id="0" name="T201_vb5.jpg"/>
                                <pic:cNvPicPr/>
                              </pic:nvPicPr>
                              <pic:blipFill>
                                <a:blip r:embed="rId17"/>
                                <a:stretch>
                                  <a:fillRect/>
                                </a:stretch>
                              </pic:blipFill>
                              <pic:spPr>
                                <a:xfrm>
                                  <a:off x="0" y="0"/>
                                  <a:ext cx="2106000" cy="428905"/>
                                </a:xfrm>
                                <a:prstGeom prst="rect"/>
                              </pic:spPr>
                            </pic:pic>
                          </a:graphicData>
                        </a:graphic>
                      </wp:inline>
                    </w:drawing>
                  </w:r>
                </w:p>
                <w:p>
                  <w:pPr>
                    <w:spacing w:after="60"/>
                    <w:jc w:val="center"/>
                  </w:pPr>
                  <w:r>
                    <w:rPr>
                      <w:rFonts w:ascii="맑은 고딕" w:hAnsi="맑은 고딕" w:eastAsia="맑은 고딕"/>
                      <w:b w:val="0"/>
                      <w:i w:val="0"/>
                    </w:rPr>
                    <w:t>p.63 본문(할로젠의 정의와 성질)</w:t>
                  </w:r>
                </w:p>
              </w:tc>
              <w:tc>
                <w:tcPr>
                  <w:tcW w:type="dxa" w:w="3487"/>
                  <w:vAlign w:val="top"/>
                </w:tcPr>
                <w:p>
                  <w:pPr>
                    <w:spacing w:line="240" w:lineRule="auto"/>
                    <w:jc w:val="center"/>
                  </w:pPr>
                  <w:r>
                    <w:drawing>
                      <wp:inline xmlns:a="http://schemas.openxmlformats.org/drawingml/2006/main" xmlns:pic="http://schemas.openxmlformats.org/drawingml/2006/picture">
                        <wp:extent cx="2106000" cy="806223"/>
                        <wp:docPr id="10" name="Picture 10"/>
                        <wp:cNvGraphicFramePr>
                          <a:graphicFrameLocks noChangeAspect="1"/>
                        </wp:cNvGraphicFramePr>
                        <a:graphic>
                          <a:graphicData uri="http://schemas.openxmlformats.org/drawingml/2006/picture">
                            <pic:pic>
                              <pic:nvPicPr>
                                <pic:cNvPr id="0" name="T201_vb6.jpg"/>
                                <pic:cNvPicPr/>
                              </pic:nvPicPr>
                              <pic:blipFill>
                                <a:blip r:embed="rId18"/>
                                <a:stretch>
                                  <a:fillRect/>
                                </a:stretch>
                              </pic:blipFill>
                              <pic:spPr>
                                <a:xfrm>
                                  <a:off x="0" y="0"/>
                                  <a:ext cx="2106000" cy="806223"/>
                                </a:xfrm>
                                <a:prstGeom prst="rect"/>
                              </pic:spPr>
                            </pic:pic>
                          </a:graphicData>
                        </a:graphic>
                      </wp:inline>
                    </w:drawing>
                  </w:r>
                </w:p>
                <w:p>
                  <w:pPr>
                    <w:spacing w:after="60"/>
                    <w:jc w:val="center"/>
                  </w:pPr>
                  <w:r>
                    <w:rPr>
                      <w:rFonts w:ascii="맑은 고딕" w:hAnsi="맑은 고딕" w:eastAsia="맑은 고딕"/>
                      <w:b w:val="0"/>
                      <w:i w:val="0"/>
                    </w:rPr>
                    <w:t>p.63 그림 Ⅱ-18 할로젠의 성질</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592920" cy="1800000"/>
                        <wp:docPr id="11" name="Picture 11"/>
                        <wp:cNvGraphicFramePr>
                          <a:graphicFrameLocks noChangeAspect="1"/>
                        </wp:cNvGraphicFramePr>
                        <a:graphic>
                          <a:graphicData uri="http://schemas.openxmlformats.org/drawingml/2006/picture">
                            <pic:pic>
                              <pic:nvPicPr>
                                <pic:cNvPr id="0" name="T201_mb3.jpg"/>
                                <pic:cNvPicPr/>
                              </pic:nvPicPr>
                              <pic:blipFill>
                                <a:blip r:embed="rId19"/>
                                <a:stretch>
                                  <a:fillRect/>
                                </a:stretch>
                              </pic:blipFill>
                              <pic:spPr>
                                <a:xfrm>
                                  <a:off x="0" y="0"/>
                                  <a:ext cx="1592920" cy="1800000"/>
                                </a:xfrm>
                                <a:prstGeom prst="rect"/>
                              </pic:spPr>
                            </pic:pic>
                          </a:graphicData>
                        </a:graphic>
                      </wp:inline>
                    </w:drawing>
                  </w:r>
                </w:p>
                <w:p>
                  <w:pPr>
                    <w:spacing w:after="60"/>
                    <w:jc w:val="center"/>
                  </w:pPr>
                  <w:r>
                    <w:rPr>
                      <w:rFonts w:ascii="맑은 고딕" w:hAnsi="맑은 고딕" w:eastAsia="맑은 고딕"/>
                      <w:b w:val="0"/>
                      <w:i w:val="0"/>
                    </w:rPr>
                    <w:t>p.60 본문(주기율표·주기·족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308360"/>
                        <wp:docPr id="12" name="Picture 12"/>
                        <wp:cNvGraphicFramePr>
                          <a:graphicFrameLocks noChangeAspect="1"/>
                        </wp:cNvGraphicFramePr>
                        <a:graphic>
                          <a:graphicData uri="http://schemas.openxmlformats.org/drawingml/2006/picture">
                            <pic:pic>
                              <pic:nvPicPr>
                                <pic:cNvPr id="0" name="T201_mb1.jpg"/>
                                <pic:cNvPicPr/>
                              </pic:nvPicPr>
                              <pic:blipFill>
                                <a:blip r:embed="rId20"/>
                                <a:stretch>
                                  <a:fillRect/>
                                </a:stretch>
                              </pic:blipFill>
                              <pic:spPr>
                                <a:xfrm>
                                  <a:off x="0" y="0"/>
                                  <a:ext cx="2106000" cy="1308360"/>
                                </a:xfrm>
                                <a:prstGeom prst="rect"/>
                              </pic:spPr>
                            </pic:pic>
                          </a:graphicData>
                        </a:graphic>
                      </wp:inline>
                    </w:drawing>
                  </w:r>
                </w:p>
                <w:p>
                  <w:pPr>
                    <w:spacing w:after="60"/>
                    <w:jc w:val="center"/>
                  </w:pPr>
                  <w:r>
                    <w:rPr>
                      <w:rFonts w:ascii="맑은 고딕" w:hAnsi="맑은 고딕" w:eastAsia="맑은 고딕"/>
                      <w:b w:val="0"/>
                      <w:i w:val="0"/>
                    </w:rPr>
                    <w:t>p.62 본문 결론(같은 족 원소들의 유사성 — 알칼리 금속·할로젠·주기성)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678450"/>
                        <wp:docPr id="13" name="Picture 13"/>
                        <wp:cNvGraphicFramePr>
                          <a:graphicFrameLocks noChangeAspect="1"/>
                        </wp:cNvGraphicFramePr>
                        <a:graphic>
                          <a:graphicData uri="http://schemas.openxmlformats.org/drawingml/2006/picture">
                            <pic:pic>
                              <pic:nvPicPr>
                                <pic:cNvPr id="0" name="T201_mb2.jpg"/>
                                <pic:cNvPicPr/>
                              </pic:nvPicPr>
                              <pic:blipFill>
                                <a:blip r:embed="rId21"/>
                                <a:stretch>
                                  <a:fillRect/>
                                </a:stretch>
                              </pic:blipFill>
                              <pic:spPr>
                                <a:xfrm>
                                  <a:off x="0" y="0"/>
                                  <a:ext cx="2106000" cy="1678450"/>
                                </a:xfrm>
                                <a:prstGeom prst="rect"/>
                              </pic:spPr>
                            </pic:pic>
                          </a:graphicData>
                        </a:graphic>
                      </wp:inline>
                    </w:drawing>
                  </w:r>
                </w:p>
                <w:p>
                  <w:pPr>
                    <w:spacing w:after="60"/>
                    <w:jc w:val="center"/>
                  </w:pPr>
                  <w:r>
                    <w:rPr>
                      <w:rFonts w:ascii="맑은 고딕" w:hAnsi="맑은 고딕" w:eastAsia="맑은 고딕"/>
                      <w:b w:val="0"/>
                      <w:i w:val="0"/>
                    </w:rPr>
                    <w:t>p.62 그림 Ⅱ-15 알칼리 금속과 할로젠</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주기율표의 1족 원소 중 수소를 제외한 리튬, 나트륨, 칼륨 등을 알칼리 금속이라고 하며, 몇 가지 비슷한 성질을 나타낸다: 실온에서 고체, 칼로 쉽게 잘릴 정도로 무름, 반응성이 커서 공기 중의 산소와 빠르게 반응하여 광택이 사라지고, 물에 넣으면 실온에서도 물과 활발하게 반응하여 수소 기체가 발생(p.63, 그림 Ⅱ-17). 17족 원소인 플루오린, 염소, 브로민 등을 할로젠이라고 하며, 원소마다 특유의 색을 띠고 수소와 반응하여 산을 생성하며, 반응성이 커서 다른 원소와 쉽게 반응(염소+나트륨 → 염화 나트륨)(p.63, 그림 Ⅱ-18). 주기율표의 세로줄을 족이라고 하며 1족에서 18족까지 있다(p.61).</w:t>
            </w:r>
          </w:p>
          <w:p>
            <w:r>
              <w:rPr>
                <w:rFonts w:ascii="맑은 고딕" w:hAnsi="맑은 고딕" w:eastAsia="맑은 고딕"/>
                <w:b w:val="0"/>
                <w:i w:val="0"/>
              </w:rPr>
              <w:t>표현 특징(비상): 알칼리 금속은 ‘실온에서 고체 상태’, ‘물과 활발하게 반응하여 수소 기체가 발생’으로 서술(수용액의 염기성은 교사용 보충에만), 할로젠은 ‘수소와 반응하여 산을 생성’을 넣음 / 같은 족의 유사성을 주기성으로 묶는 일반화 문장이 본문에 없음(도입 ‘원소의 성질이 주기적으로 나타난다’만 있음) / 원자 번호에 따른 녹는점·끓는점·반응성 경향은 교사용 주석</w:t>
            </w:r>
          </w:p>
        </w:tc>
        <w:tc>
          <w:tcPr>
            <w:tcW w:type="dxa" w:w="7200"/>
            <w:tcMar>
              <w:top w:w="22" w:type="dxa"/>
              <w:bottom w:w="22" w:type="dxa"/>
            </w:tcMar>
          </w:tcPr>
          <w:p>
            <w:r>
              <w:rPr>
                <w:rFonts w:ascii="맑은 고딕" w:hAnsi="맑은 고딕" w:eastAsia="맑은 고딕"/>
                <w:b w:val="0"/>
                <w:i w:val="0"/>
              </w:rPr>
              <w:t>주기율표의 1족 원소 중에서 수소를 제외한 리튬(Li), 나트륨(Na), 칼륨(K) 등의 금속 원소를 알칼리 금속이라고 한다. 다른 금속보다 밀도가 작고 칼로 잘릴 만큼 무르며, 반응성이 커서 공기 중의 산소와 빠르게 반응하고 실온에서도 물과 격렬하게 반응하며 반응한 뒤 수용액은 염기성을 띤다. 17족 원소인 플루오린(F), 염소(Cl), 브로민(Br), 아이오딘(I) 등을 할로젠이라고 하며, 각각 특유의 색을 띠고 반응성이 커서 수소, 알칼리 금속 등 다른 원소와 잘 반응한다(실온에서 2 개의 원자가 결합한 분자로 존재). 주기율표의 같은 족 원소들은 성질이 유사하며, 유사한 성질을 가진 원소가 일정한 원자 번호의 간격으로 반복되면서 원소들의 성질이 주기성을 나타낸다(p.62).</w:t>
            </w:r>
          </w:p>
          <w:p>
            <w:r>
              <w:rPr>
                <w:rFonts w:ascii="맑은 고딕" w:hAnsi="맑은 고딕" w:eastAsia="맑은 고딕"/>
                <w:b w:val="0"/>
                <w:i w:val="0"/>
              </w:rPr>
              <w:t>표현 특징(미래엔): ‘밀도가 작고’, ‘물과 격렬하게 반응’, ‘수용액은 염기성’을 학생 본문에 씀(비상은 ‘활발하게’, ‘수소 기체 발생’), 할로젠의 ‘산 생성’은 없고 ‘분자로 존재’ 곁글 추가 / ‘같은 족 원소들은 성질이 유사하다 → 일정한 원자 번호 간격으로 반복 → 주기성’으로 성취기준 문장에 가까운 일반화를 본문에 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수소도 1족이므로 알칼리 금속이다 → 수소는 1족에 있지만 비금속으로 알칼리 금속이 아님 (비상 p.62 탐구 유의점 ‘수소를 제외’, p.63 본문 / 미래엔 p.62 본문 ‘수소를 제외한 … 금속 원소’)</w:t>
            </w:r>
          </w:p>
          <w:p>
            <w:pPr>
              <w:ind w:left="170" w:hanging="170"/>
            </w:pPr>
            <w:r>
              <w:rPr>
                <w:rFonts w:ascii="맑은 고딕" w:hAnsi="맑은 고딕" w:eastAsia="맑은 고딕"/>
                <w:b w:val="0"/>
                <w:i w:val="0"/>
              </w:rPr>
              <w:t>• 같은 족 원소는 성질이 똑같다(유사 = 동일) → 반응의 종류는 같지만 반응의 세기는 원자 번호에 따라 달라짐(알칼리 금속 Li&lt;Na&lt;K, 할로젠은 원자 번호가 클수록 반응성 작아짐) (비상 p.63 교사용 주석·보충 / 미래엔: 경향 언급 없음 — ‘유사하다’만)</w:t>
            </w:r>
          </w:p>
          <w:p>
            <w:pPr>
              <w:ind w:left="170" w:hanging="170"/>
            </w:pPr>
            <w:r>
              <w:rPr>
                <w:rFonts w:ascii="맑은 고딕" w:hAnsi="맑은 고딕" w:eastAsia="맑은 고딕"/>
                <w:b w:val="0"/>
                <w:i w:val="0"/>
              </w:rPr>
              <w:t>• 금속은 모두 단단하고 물에 가라앉는다 → 알칼리 금속은 칼로 잘릴 만큼 무르고 밀도가 작아 물에 뜸 (비상 p.63 본문·그림 Ⅱ-17 / 미래엔 p.62 ‘다른 금속보다 밀도가 작고’, p.61 금속의 일반적 성질과 대비)</w:t>
            </w:r>
          </w:p>
        </w:tc>
        <w:tc>
          <w:tcPr>
            <w:tcW w:type="dxa" w:w="7200"/>
            <w:tcMar>
              <w:top w:w="22" w:type="dxa"/>
              <w:bottom w:w="22" w:type="dxa"/>
            </w:tcMar>
          </w:tcPr>
          <w:p>
            <w:pPr>
              <w:ind w:left="170" w:hanging="170"/>
            </w:pPr>
            <w:r>
              <w:rPr>
                <w:rFonts w:ascii="맑은 고딕" w:hAnsi="맑은 고딕" w:eastAsia="맑은 고딕"/>
                <w:b w:val="0"/>
                <w:i w:val="0"/>
              </w:rPr>
              <w:t>• 알칼리 금속이 물과 반응해서 나오는 기체는 산소(또는 수증기)이다 → 수소 기체가 발생하고 수용액은 염기성을 띰 (비상 p.63 본문 ‘수소 기체가 발생’ / 미래엔 p.62 ‘수용액은 염기성’ — 미래엔은 기체 이름을 쓰지 않음)</w:t>
            </w:r>
          </w:p>
          <w:p>
            <w:pPr>
              <w:ind w:left="170" w:hanging="170"/>
            </w:pPr>
            <w:r>
              <w:rPr>
                <w:rFonts w:ascii="맑은 고딕" w:hAnsi="맑은 고딕" w:eastAsia="맑은 고딕"/>
                <w:b w:val="0"/>
                <w:i w:val="0"/>
              </w:rPr>
              <w:t>• 같은 족이 비슷한 까닭은 원소들이 ‘전자를 1 개 잃고 싶어서(8 개를 채우고 싶어서)’이다 → 원자는 목적을 갖지 않으며, 전자 배치가 같은 방식이어서 비슷한 반응이 일어나고 8은 에너지가 낮아지는 과정이 멈추는 지점일 뿐 (강의 발문 / 두 교과서 이 차시에는 전자 배치 설명 없음 — 다음 차시)</w:t>
            </w:r>
          </w:p>
          <w:p>
            <w:pPr>
              <w:ind w:left="170" w:hanging="170"/>
            </w:pPr>
            <w:r>
              <w:rPr>
                <w:rFonts w:ascii="맑은 고딕" w:hAnsi="맑은 고딕" w:eastAsia="맑은 고딕"/>
                <w:b w:val="0"/>
                <w:i w:val="0"/>
              </w:rPr>
              <w:t>• 실험 설계는 준비물과 과정만 쓰면 된다 → 무엇을 바꾸고(조작) 무엇을 보며(종속) 무엇을 같게 할지(통제)를 정해야 하고, 유사성을 보이려면 같은 족 여러 원소를 같은 조건에서 비교해야 함 (비상 p.62 활동 길잡이·변인 설정 칸 / 미래엔 p.63 카드에 변인 칸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달력의 요일처럼 원소의 성질도 주기적으로 반복될까(비상 p.62 도입 / 미래엔 p.60 단원 도입) + 주기·족 정의 → ② (비상) 수소를 제외한 1족 원소의 비슷한 성질 조사 → 하나 선택 / (미래엔) 준비물 그림과 성질 카드 확인 → ③ 실험 설계(비상: 비슷한 성질·변인 설정·준비물·실험 과정·주의점 표 / 미래엔: 준비물·안전 사항·실험 과정 카드) → ④ 협업 플랫폼 공유와 동료 평가(비상: 댓글로 적절성 논의 → 보완 / 미래엔: 발표 → 적합성·체계성 평가, 가상 실험으로 실현 가능성 점검) → ⑤ 본문으로 알칼리 금속·할로젠의 유사성 정리 → 같은 족 원소의 성질이 일정한 원자 번호 간격으로 반복 = 주기성(미래엔 p.62 명시)   ※ 교과서별 보완: 공통으로 17족(할로젠)도 영상·자료로 유사성 확인, 같은 조건에서 여러 원소를 비교하는 단계와 반응의 세기 차이 질문 추가, 다음 차시 전자 배치로 ‘왜 비슷한가’를 목적론 없이 연결 / 비상은 수소·염기성 확인(페놀프탈레인)과 남은 금속 처리를 학생 지면에 / 미래엔은 카드에 변인 칸과 여러 금속 비교 단계 추가</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통과1</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물질과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[10통과1-02-03] 세상을 구성하는 원소들의 성질이 주기성을 나타내는 현상을 통해 자연의 규칙성을 도출하고, 지구와 생명체를 구성하는 주요 원소들이 결합을 형성하는 이유를 해석할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원소의 주기성이 나타나는 까닭(전자 배치)</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p.65 · 본문 p.64</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p.64 · 본문 p.64~65</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목표(p.58 소단원 학습 목표): 세상을 구성하는 원소들의 성질이 주기성을 나타내는 현상을 통해 자연의 규칙성을 도출할 수 있다. 지구와 생명체를 구성하는 주요 원소들이 결합을 형성하는 까닭을 해석할 수 있다. / 이 차시: 해 보기 도입 ‘원자 번호 순서대로 원자의 전자 배치를 살펴보고, 원소의 성질이 주기성을 나타내는 까닭을 알아보자.’(p.65)</w:t>
            </w:r>
          </w:p>
          <w:p>
            <w:r>
              <w:rPr>
                <w:rFonts w:ascii="맑은 고딕" w:hAnsi="맑은 고딕" w:eastAsia="맑은 고딕"/>
                <w:b w:val="0"/>
                <w:i w:val="0"/>
              </w:rPr>
              <w:t>준비물: 없음(교과서 그림 2·3주기 원자의 전자 배치 모형을 보고 토의, 활동지 QR)</w:t>
            </w:r>
          </w:p>
          <w:p>
            <w:r>
              <w:rPr>
                <w:rFonts w:ascii="맑은 고딕" w:hAnsi="맑은 고딕" w:eastAsia="맑은 고딕"/>
                <w:b w:val="0"/>
                <w:i w:val="0"/>
              </w:rPr>
              <w:t>도입(p.64): 알칼리 금속, 할로젠과 같이 주기율표에서 같은 족에 속하는 원소들은 성질이 비슷하다. 그 까닭은 무엇일까? → 원소의 성질은 원자 안의 전자와 관련 → 보어 원자 모형(전자 껍질), 전자 껍질별 최대 전자 수(첫 번째 2개, 두 번째 8개), 표 Ⅱ-1(수소 1, 탄소 6, 마그네슘 12의 원자 번호·양성자 수·전자 수·원자 모형)</w:t>
            </w:r>
          </w:p>
          <w:p>
            <w:r>
              <w:rPr>
                <w:rFonts w:ascii="맑은 고딕" w:hAnsi="맑은 고딕" w:eastAsia="맑은 고딕"/>
                <w:b w:val="0"/>
                <w:i w:val="0"/>
              </w:rPr>
              <w:t>곁글(학생용): 보어(Bohr, N. H. D., 1885~1962) — 수소의 선 스펙트럼을 바탕으로 원자핵 주위를 전자가 원형 궤도를 따라 돌고 있다는 가설 발표(p.64) / 원자의 구조 — 원자는 원자핵과 전자, 원자핵은 양성자와 중성자, 양성자 수 = 전자 수이므로 전기적으로 중성(p.64) / 18족 원소의 원자가 전자의 수 — 대부분 다른 원소와 반응을 하지 않기 때문에 0으로 한다(p.65)</w:t>
            </w:r>
          </w:p>
          <w:p>
            <w:r>
              <w:rPr>
                <w:rFonts w:ascii="맑은 고딕" w:hAnsi="맑은 고딕" w:eastAsia="맑은 고딕"/>
                <w:b w:val="0"/>
                <w:i w:val="0"/>
              </w:rPr>
              <w:t>교사용 보충(p.64·65): 바닥상태와 들뜬상태, 보어 모형의 에너지 준위와 전자 전이, 보어 모형의 한계(세 번째 껍질 최대 8개는 보어 모형, 현대 모형은 최대 18개), 최외각 전자와 원자가 전자 구별(원자 번호 20번까지는 수가 같지만 다른 개념, 18족은 최외각 8개·원자가 전자 0개) / 지도 길잡이: 2·3주기 전자 배치 모형에서 전자를 배치하는 원리 이해, 같은 주기·같은 족 원소의 공통점·차이점·규칙성 확인 / 차시 평가 Tip: 보고서·발표·지필 평가</w:t>
            </w:r>
          </w:p>
          <w:p>
            <w:r>
              <w:rPr>
                <w:rFonts w:ascii="맑은 고딕" w:hAnsi="맑은 고딕" w:eastAsia="맑은 고딕"/>
                <w:b/>
                <w:i w:val="0"/>
              </w:rPr>
              <w:t>소단원 1 ‘원소의 주기성과 화학 결합’ 3번째 주제(차시 표시 1~4 중) / 해 보기에 탐구 기능 표기 없음(활동지 아이콘만) / 본문 p.64 + 해 보기·본문 결론·확인하기 p.65로 구성, 결합 형성 이유(18족과 비교)는 다음 주제로 넘어감</w:t>
            </w:r>
          </w:p>
        </w:tc>
        <w:tc>
          <w:tcPr>
            <w:tcW w:type="dxa" w:w="7200"/>
            <w:tcMar>
              <w:top w:w="22" w:type="dxa"/>
              <w:bottom w:w="22" w:type="dxa"/>
            </w:tcMar>
          </w:tcPr>
          <w:p>
            <w:r>
              <w:rPr>
                <w:rFonts w:ascii="맑은 고딕" w:hAnsi="맑은 고딕" w:eastAsia="맑은 고딕"/>
                <w:b w:val="0"/>
                <w:i w:val="0"/>
              </w:rPr>
              <w:t>목표: 이 주제(원소의 주기성과 자연의 규칙성)에 별도 목표 문장 없음 — 해 보기 도입 ‘전자 껍질에 전자를 채워 원자를 모형으로 나타내 보자.’(p.64)</w:t>
            </w:r>
          </w:p>
          <w:p>
            <w:r>
              <w:rPr>
                <w:rFonts w:ascii="맑은 고딕" w:hAnsi="맑은 고딕" w:eastAsia="맑은 고딕"/>
                <w:b w:val="0"/>
                <w:i w:val="0"/>
              </w:rPr>
              <w:t>준비물(p.64): 투명 전자 껍질(부록 175 쪽), 유성펜, 파란색 붙임딱지(부록 177 쪽) / 실험 영상 QR</w:t>
            </w:r>
          </w:p>
          <w:p>
            <w:r>
              <w:rPr>
                <w:rFonts w:ascii="맑은 고딕" w:hAnsi="맑은 고딕" w:eastAsia="맑은 고딕"/>
                <w:b w:val="0"/>
                <w:i w:val="0"/>
              </w:rPr>
              <w:t>도입(p.64 본문): 원자는 원자핵과 전자, 원자핵은 양성자와 중성자 → 1913 년 보어 원자 모형: 전자는 특정한 에너지 준위를 가지는 궤도(전자 껍질)에 존재 → 에너지 준위는 원자핵과 가까울수록 낮고, 전자는 에너지 준위가 낮은 껍질부터 채워짐 → 첫 번째 껍질 최대 2개, 원자 번호 3번~18번 원자의 두 번째·세 번째 껍질 최대 8개</w:t>
            </w:r>
          </w:p>
          <w:p>
            <w:r>
              <w:rPr>
                <w:rFonts w:ascii="맑은 고딕" w:hAnsi="맑은 고딕" w:eastAsia="맑은 고딕"/>
                <w:b w:val="0"/>
                <w:i w:val="0"/>
              </w:rPr>
              <w:t>용어(p.64): *에너지 준위 — 전자 껍질에서 전자가 가지는 특정한 에너지값, 또는 그 에너지를 가진 상태 / 도움말(p.64): 원자핵의 전하량은 원자 번호 뒤에 ‘+’ 기호를 붙여 표시한다. / 곁글(p.65): 화학적 성질과 원자가 전자 — 화학적 성질은 화학 반응에 관계된 성질, 원자가 전자는 원소의 화학적 성질을 결정하며 화학 결합에 관여 / 디지털 탐색: ‘보어 원자 모형 시뮬레이션’</w:t>
            </w:r>
          </w:p>
          <w:p>
            <w:r>
              <w:rPr>
                <w:rFonts w:ascii="맑은 고딕" w:hAnsi="맑은 고딕" w:eastAsia="맑은 고딕"/>
                <w:b/>
                <w:i w:val="0"/>
              </w:rPr>
              <w:t>해 보기(p.64, 탐구 능력·문제 해결 능력) + 본문 원자가 전자·그림 Ⅱ-17(p.65) + 본문 결론(p.65) + 스스로 확인하기(p.65) / 1주기(수소·헬륨)까지 포함한 1~18번 / 학생용 — 모범 답안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51008"/>
                        <wp:docPr id="14" name="Picture 14"/>
                        <wp:cNvGraphicFramePr>
                          <a:graphicFrameLocks noChangeAspect="1"/>
                        </wp:cNvGraphicFramePr>
                        <a:graphic>
                          <a:graphicData uri="http://schemas.openxmlformats.org/drawingml/2006/picture">
                            <pic:pic>
                              <pic:nvPicPr>
                                <pic:cNvPr id="0" name="T202_vp1.jpg"/>
                                <pic:cNvPicPr/>
                              </pic:nvPicPr>
                              <pic:blipFill>
                                <a:blip r:embed="rId22"/>
                                <a:stretch>
                                  <a:fillRect/>
                                </a:stretch>
                              </pic:blipFill>
                              <pic:spPr>
                                <a:xfrm>
                                  <a:off x="0" y="0"/>
                                  <a:ext cx="2106000" cy="751008"/>
                                </a:xfrm>
                                <a:prstGeom prst="rect"/>
                              </pic:spPr>
                            </pic:pic>
                          </a:graphicData>
                        </a:graphic>
                      </wp:inline>
                    </w:drawing>
                  </w:r>
                </w:p>
                <w:p>
                  <w:pPr>
                    <w:spacing w:after="60"/>
                    <w:jc w:val="center"/>
                  </w:pPr>
                  <w:r>
                    <w:rPr>
                      <w:rFonts w:ascii="맑은 고딕" w:hAnsi="맑은 고딕" w:eastAsia="맑은 고딕"/>
                      <w:b w:val="0"/>
                      <w:i w:val="0"/>
                    </w:rPr>
                    <w:t>p.65 해 보기 2주기·3주기 원자의 전자 배치 모형[결과]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560739"/>
                        <wp:docPr id="15" name="Picture 15"/>
                        <wp:cNvGraphicFramePr>
                          <a:graphicFrameLocks noChangeAspect="1"/>
                        </wp:cNvGraphicFramePr>
                        <a:graphic>
                          <a:graphicData uri="http://schemas.openxmlformats.org/drawingml/2006/picture">
                            <pic:pic>
                              <pic:nvPicPr>
                                <pic:cNvPr id="0" name="T202_vp2.jpg"/>
                                <pic:cNvPicPr/>
                              </pic:nvPicPr>
                              <pic:blipFill>
                                <a:blip r:embed="rId23"/>
                                <a:stretch>
                                  <a:fillRect/>
                                </a:stretch>
                              </pic:blipFill>
                              <pic:spPr>
                                <a:xfrm>
                                  <a:off x="0" y="0"/>
                                  <a:ext cx="2106000" cy="560739"/>
                                </a:xfrm>
                                <a:prstGeom prst="rect"/>
                              </pic:spPr>
                            </pic:pic>
                          </a:graphicData>
                        </a:graphic>
                      </wp:inline>
                    </w:drawing>
                  </w:r>
                </w:p>
                <w:p>
                  <w:pPr>
                    <w:spacing w:after="60"/>
                    <w:jc w:val="center"/>
                  </w:pPr>
                  <w:r>
                    <w:rPr>
                      <w:rFonts w:ascii="맑은 고딕" w:hAnsi="맑은 고딕" w:eastAsia="맑은 고딕"/>
                      <w:b w:val="0"/>
                      <w:i w:val="0"/>
                    </w:rPr>
                    <w:t>p.65 해 보기 주기·족 공통점 정리 표와 토의 예시 답안[결과]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03692"/>
                        <wp:docPr id="16" name="Picture 16"/>
                        <wp:cNvGraphicFramePr>
                          <a:graphicFrameLocks noChangeAspect="1"/>
                        </wp:cNvGraphicFramePr>
                        <a:graphic>
                          <a:graphicData uri="http://schemas.openxmlformats.org/drawingml/2006/picture">
                            <pic:pic>
                              <pic:nvPicPr>
                                <pic:cNvPr id="0" name="T202_mp1.jpg"/>
                                <pic:cNvPicPr/>
                              </pic:nvPicPr>
                              <pic:blipFill>
                                <a:blip r:embed="rId24"/>
                                <a:stretch>
                                  <a:fillRect/>
                                </a:stretch>
                              </pic:blipFill>
                              <pic:spPr>
                                <a:xfrm>
                                  <a:off x="0" y="0"/>
                                  <a:ext cx="2106000" cy="803692"/>
                                </a:xfrm>
                                <a:prstGeom prst="rect"/>
                              </pic:spPr>
                            </pic:pic>
                          </a:graphicData>
                        </a:graphic>
                      </wp:inline>
                    </w:drawing>
                  </w:r>
                </w:p>
                <w:p>
                  <w:pPr>
                    <w:spacing w:after="60"/>
                    <w:jc w:val="center"/>
                  </w:pPr>
                  <w:r>
                    <w:rPr>
                      <w:rFonts w:ascii="맑은 고딕" w:hAnsi="맑은 고딕" w:eastAsia="맑은 고딕"/>
                      <w:b w:val="0"/>
                      <w:i w:val="0"/>
                    </w:rPr>
                    <w:t>p.64 해 보기 예시 원자 번호 12번 마그네슘 — 첫 번째·두 번째·세 번째 전자 껍질에 붙임딱지 붙이기[과정·결과]</w:t>
                  </w:r>
                </w:p>
              </w:tc>
              <w:tc>
                <w:tcPr>
                  <w:tcW w:type="dxa" w:w="3487"/>
                  <w:vAlign w:val="top"/>
                </w:tcPr>
                <w:p>
                  <w:pPr>
                    <w:spacing w:line="240" w:lineRule="auto"/>
                    <w:jc w:val="center"/>
                  </w:pPr>
                  <w:r>
                    <w:drawing>
                      <wp:inline xmlns:a="http://schemas.openxmlformats.org/drawingml/2006/main" xmlns:pic="http://schemas.openxmlformats.org/drawingml/2006/picture">
                        <wp:extent cx="1981199" cy="1719071"/>
                        <wp:docPr id="17" name="Picture 17"/>
                        <wp:cNvGraphicFramePr>
                          <a:graphicFrameLocks noChangeAspect="1"/>
                        </wp:cNvGraphicFramePr>
                        <a:graphic>
                          <a:graphicData uri="http://schemas.openxmlformats.org/drawingml/2006/picture">
                            <pic:pic>
                              <pic:nvPicPr>
                                <pic:cNvPr id="0" name="T202_mp2.jpg"/>
                                <pic:cNvPicPr/>
                              </pic:nvPicPr>
                              <pic:blipFill>
                                <a:blip r:embed="rId25"/>
                                <a:stretch>
                                  <a:fillRect/>
                                </a:stretch>
                              </pic:blipFill>
                              <pic:spPr>
                                <a:xfrm>
                                  <a:off x="0" y="0"/>
                                  <a:ext cx="1981199" cy="1719071"/>
                                </a:xfrm>
                                <a:prstGeom prst="rect"/>
                              </pic:spPr>
                            </pic:pic>
                          </a:graphicData>
                        </a:graphic>
                      </wp:inline>
                    </w:drawing>
                  </w:r>
                </w:p>
                <w:p>
                  <w:pPr>
                    <w:spacing w:after="60"/>
                    <w:jc w:val="center"/>
                  </w:pPr>
                  <w:r>
                    <w:rPr>
                      <w:rFonts w:ascii="맑은 고딕" w:hAnsi="맑은 고딕" w:eastAsia="맑은 고딕"/>
                      <w:b w:val="0"/>
                      <w:i w:val="0"/>
                    </w:rPr>
                    <w:t>p.64 해 보기 과정 3 투명 전자 껍질 3장을 겹쳐 원자 모형 완성[과정]</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원소의 성질이 주기성을 나타내는 까닭 알아보기 (p.65, 활동지)</w:t>
            </w:r>
          </w:p>
          <w:p>
            <w:pPr>
              <w:ind w:left="170" w:hanging="170"/>
            </w:pPr>
            <w:r>
              <w:rPr>
                <w:rFonts w:ascii="맑은 고딕" w:hAnsi="맑은 고딕" w:eastAsia="맑은 고딕"/>
                <w:b w:val="0"/>
                <w:i w:val="0"/>
              </w:rPr>
              <w:t>1) 2주기(리튬 3+ ~ 네온 10+)와 3주기(나트륨 11+ ~ 아르곤 18+) 원자의 전자 배치 모형 그림(1·2·13~18족 배열, 범례: 원자핵 ‘1+’, 전자 껍질, 전자)을 살펴본다.</w:t>
            </w:r>
          </w:p>
          <w:p>
            <w:pPr>
              <w:ind w:left="170" w:hanging="170"/>
            </w:pPr>
            <w:r>
              <w:rPr>
                <w:rFonts w:ascii="맑은 고딕" w:hAnsi="맑은 고딕" w:eastAsia="맑은 고딕"/>
                <w:b w:val="0"/>
                <w:i w:val="0"/>
              </w:rPr>
              <w:t>2) 같은 주기나 족에 속하는 원소들은 각각 어떤 공통점이 있는지 전자 배치와 관련지어 설명해 보자.</w:t>
            </w:r>
          </w:p>
          <w:p>
            <w:pPr>
              <w:ind w:left="170" w:hanging="170"/>
            </w:pPr>
            <w:r>
              <w:rPr>
                <w:rFonts w:ascii="맑은 고딕" w:hAnsi="맑은 고딕" w:eastAsia="맑은 고딕"/>
                <w:b w:val="0"/>
                <w:i w:val="0"/>
              </w:rPr>
              <w:t>A. (예시 답안) 주기 — 같은 주기 원소들은 전자가 들어 있는 전자 껍질의 수가 같다. / 족 — 같은 족 원소들은 가장 바깥 전자 껍질에 들어 있으면서 화학 반응에 관여하는 전자인 원자가 전자의 수가 같다.</w:t>
            </w:r>
          </w:p>
          <w:p>
            <w:pPr>
              <w:ind w:left="170" w:hanging="170"/>
            </w:pPr>
            <w:r>
              <w:rPr>
                <w:rFonts w:ascii="맑은 고딕" w:hAnsi="맑은 고딕" w:eastAsia="맑은 고딕"/>
                <w:b w:val="0"/>
                <w:i w:val="0"/>
              </w:rPr>
              <w:t>3) 같은 족에 속하는 원소들이 비슷한 화학적 성질을 나타내는 까닭을 전자 배치와 관련지어 토의해 보자.</w:t>
            </w:r>
          </w:p>
          <w:p>
            <w:pPr>
              <w:ind w:left="170" w:hanging="170"/>
            </w:pPr>
            <w:r>
              <w:rPr>
                <w:rFonts w:ascii="맑은 고딕" w:hAnsi="맑은 고딕" w:eastAsia="맑은 고딕"/>
                <w:b w:val="0"/>
                <w:i w:val="0"/>
              </w:rPr>
              <w:t>A. (예시 답안) 같은 족 원소들은 가장 바깥 전자 껍질에 들어 있으면서 화학 반응에 관여하는 전자인 원자가 전자의 수가 같아서 화학적 성질이 비슷하다.</w:t>
            </w:r>
          </w:p>
          <w:p>
            <w:r>
              <w:rPr>
                <w:rFonts w:ascii="맑은 고딕" w:hAnsi="맑은 고딕" w:eastAsia="맑은 고딕"/>
                <w:b/>
                <w:i w:val="0"/>
              </w:rPr>
              <w:t>[본문 정리] (p.64~65)</w:t>
            </w:r>
          </w:p>
          <w:p>
            <w:pPr>
              <w:ind w:left="170" w:hanging="170"/>
            </w:pPr>
            <w:r>
              <w:rPr>
                <w:rFonts w:ascii="맑은 고딕" w:hAnsi="맑은 고딕" w:eastAsia="맑은 고딕"/>
                <w:b w:val="0"/>
                <w:i w:val="0"/>
              </w:rPr>
              <w:t>• 보어 모형: 전자는 원자핵에 가까운 전자 껍질부터 차례로 배치, 첫 번째 껍질 최대 2개·두 번째 껍질 최대 8개(p.64) / 표 Ⅱ-1: 수소(원자 번호 1, 양성자 1, 전자 1), 탄소(6, 6, 6), 마그네슘(12, 12, 12)의 원자 모형</w:t>
            </w:r>
          </w:p>
          <w:p>
            <w:pPr>
              <w:ind w:left="170" w:hanging="170"/>
            </w:pPr>
            <w:r>
              <w:rPr>
                <w:rFonts w:ascii="맑은 고딕" w:hAnsi="맑은 고딕" w:eastAsia="맑은 고딕"/>
                <w:b w:val="0"/>
                <w:i w:val="0"/>
              </w:rPr>
              <w:t>• 같은 주기 = 전자가 들어 있는 전자 껍질 수가 같다(2주기 리튬·질소·플루오린 2개, 3주기 나트륨·인·염소 3개) / 같은 족 = 원자가 전자 수가 같다(1족 리튬·나트륨·칼륨 1개, 17족 플루오린·염소·브로민 7개) → 원자가 전자 수가 주기적으로 변하므로 원소의 성질이 주기성을 나타낸다(p.65)</w:t>
            </w:r>
          </w:p>
          <w:p>
            <w:r>
              <w:rPr>
                <w:rFonts w:ascii="맑은 고딕" w:hAnsi="맑은 고딕" w:eastAsia="맑은 고딕"/>
                <w:b/>
                <w:i w:val="0"/>
              </w:rPr>
              <w:t>[확인하기] (p.65)</w:t>
            </w:r>
          </w:p>
          <w:p>
            <w:r>
              <w:rPr>
                <w:rFonts w:ascii="맑은 고딕" w:hAnsi="맑은 고딕" w:eastAsia="맑은 고딕"/>
                <w:b w:val="0"/>
                <w:i w:val="0"/>
              </w:rPr>
              <w:t>플루오린과 염소의 화학적 성질이 비슷한 까닭은 (   )의 수가 같기 때문이다. — A. 원자가 전자</w:t>
            </w:r>
          </w:p>
        </w:tc>
        <w:tc>
          <w:tcPr>
            <w:tcW w:type="dxa" w:w="7200"/>
            <w:tcMar>
              <w:top w:w="22" w:type="dxa"/>
              <w:bottom w:w="22" w:type="dxa"/>
            </w:tcMar>
          </w:tcPr>
          <w:p>
            <w:r>
              <w:rPr>
                <w:rFonts w:ascii="맑은 고딕" w:hAnsi="맑은 고딕" w:eastAsia="맑은 고딕"/>
                <w:b/>
                <w:i w:val="0"/>
              </w:rPr>
              <w:t>[해 보기] 원자의 전자 배치를 모형으로 나타내기 (p.64)</w:t>
            </w:r>
          </w:p>
          <w:p>
            <w:pPr>
              <w:ind w:left="170" w:hanging="170"/>
            </w:pPr>
            <w:r>
              <w:rPr>
                <w:rFonts w:ascii="맑은 고딕" w:hAnsi="맑은 고딕" w:eastAsia="맑은 고딕"/>
                <w:b w:val="0"/>
                <w:i w:val="0"/>
              </w:rPr>
              <w:t>1) 칠판에 주기율표의 원자 번호 1번~18번에 해당하는 부분을 그리고, 그중에 남는 것이 없도록 우리 반 모두가 원자 번호를 하나씩 고른다.</w:t>
            </w:r>
          </w:p>
          <w:p>
            <w:pPr>
              <w:ind w:left="170" w:hanging="170"/>
            </w:pPr>
            <w:r>
              <w:rPr>
                <w:rFonts w:ascii="맑은 고딕" w:hAnsi="맑은 고딕" w:eastAsia="맑은 고딕"/>
                <w:b w:val="0"/>
                <w:i w:val="0"/>
              </w:rPr>
              <w:t>2) 투명 전자 껍질의 원자핵에 유성펜으로 원자핵의 전하량을 표시하고, 전자가 채워지는 규칙에 따라 내가 고른 원자 번호와 같은 수의 파란색 붙임딱지를 붙인다. (도움말: 원자핵의 전하량은 원자 번호 뒤에 ‘+’ 기호를 붙여 표시) — 예시: 원자 번호 12번 마그네슘 = 첫 번째 전자 껍질(원자핵 12+, 전자 2개), 두 번째 전자 껍질(전자 8개), 세 번째 전자 껍질(전자 2개)</w:t>
            </w:r>
          </w:p>
          <w:p>
            <w:pPr>
              <w:ind w:left="170" w:hanging="170"/>
            </w:pPr>
            <w:r>
              <w:rPr>
                <w:rFonts w:ascii="맑은 고딕" w:hAnsi="맑은 고딕" w:eastAsia="맑은 고딕"/>
                <w:b w:val="0"/>
                <w:i w:val="0"/>
              </w:rPr>
              <w:t>3) 과정 2의 전자 껍질을 그림과 같이 겹쳐서 원자의 전자 배치를 모형으로 나타낸다.</w:t>
            </w:r>
          </w:p>
          <w:p>
            <w:pPr>
              <w:ind w:left="170" w:hanging="170"/>
            </w:pPr>
            <w:r>
              <w:rPr>
                <w:rFonts w:ascii="맑은 고딕" w:hAnsi="맑은 고딕" w:eastAsia="맑은 고딕"/>
                <w:b w:val="0"/>
                <w:i w:val="0"/>
              </w:rPr>
              <w:t>4) 각자 나타낸 원자 모형을 칠판의 주기율표에 붙이고 규칙성을 찾아본다.</w:t>
            </w:r>
          </w:p>
          <w:p>
            <w:r>
              <w:rPr>
                <w:rFonts w:ascii="맑은 고딕" w:hAnsi="맑은 고딕" w:eastAsia="맑은 고딕"/>
                <w:b w:val="0"/>
                <w:i w:val="0"/>
              </w:rPr>
              <w:t>정리. 주기율표에서 나타나는 규칙성을 전자 배치와 관련지어 설명해 보자.</w:t>
            </w:r>
          </w:p>
          <w:p>
            <w:pPr>
              <w:ind w:left="170" w:hanging="170"/>
            </w:pPr>
            <w:r>
              <w:rPr>
                <w:rFonts w:ascii="맑은 고딕" w:hAnsi="맑은 고딕" w:eastAsia="맑은 고딕"/>
                <w:b w:val="0"/>
                <w:i w:val="0"/>
              </w:rPr>
              <w:t>→ 본문(p.65): 주기율표의 같은 주기에 속하는 원소는 원자의 전자 배치에서 전자가 채워진 전자 껍질의 수가 같고, 같은 족에 속하는 원소는 원자의 전자 배치에서 원자가 전자의 수가 같다. 원소들의 성질이 주기성을 나타내는 것은 규칙에 따라 원자의 전자 배치가 달라지면서 원소의 화학적 성질을 결정하는 원자가 전자 수가 주기적으로 변하기 때문이다.</w:t>
            </w:r>
          </w:p>
          <w:p>
            <w:r>
              <w:rPr>
                <w:rFonts w:ascii="맑은 고딕" w:hAnsi="맑은 고딕" w:eastAsia="맑은 고딕"/>
                <w:b/>
                <w:i w:val="0"/>
              </w:rPr>
              <w:t>[본문 질문] (p.65 그림 Ⅱ-17)</w:t>
            </w:r>
          </w:p>
          <w:p>
            <w:r>
              <w:rPr>
                <w:rFonts w:ascii="맑은 고딕" w:hAnsi="맑은 고딕" w:eastAsia="맑은 고딕"/>
                <w:b w:val="0"/>
                <w:i w:val="0"/>
              </w:rPr>
              <w:t>1족 원소의 원자가 전자 수와 17족 원소의 원자가 전자 수를 각각 써 보자.</w:t>
            </w:r>
          </w:p>
          <w:p>
            <w:pPr>
              <w:ind w:left="170" w:hanging="170"/>
            </w:pPr>
            <w:r>
              <w:rPr>
                <w:rFonts w:ascii="맑은 고딕" w:hAnsi="맑은 고딕" w:eastAsia="맑은 고딕"/>
                <w:b w:val="0"/>
                <w:i w:val="0"/>
              </w:rPr>
              <w:t>→ 본문(p.65): 새롭게 발견한 원소가 알칼리 금속과 비슷한 성질을 가진다면 원자가 전자 수가 1일 것이다. / ?? 미래엔: 17족 원자가 전자 수를 밝힌 문장 없음(그림 Ⅱ-17에서 세어 7), 붕소 말풍선 ‘붕소의 원자가 전자 수는 3이야.’</w:t>
            </w:r>
          </w:p>
          <w:p>
            <w:r>
              <w:rPr>
                <w:rFonts w:ascii="맑은 고딕" w:hAnsi="맑은 고딕" w:eastAsia="맑은 고딕"/>
                <w:b/>
                <w:i w:val="0"/>
              </w:rPr>
              <w:t>[스스로 확인하기] (p.65)</w:t>
            </w:r>
          </w:p>
          <w:p>
            <w:pPr>
              <w:ind w:left="170" w:hanging="170"/>
            </w:pPr>
            <w:r>
              <w:rPr>
                <w:rFonts w:ascii="맑은 고딕" w:hAnsi="맑은 고딕" w:eastAsia="맑은 고딕"/>
                <w:b w:val="0"/>
                <w:i w:val="0"/>
              </w:rPr>
              <w:t>1. 원자 번호 3번~18번에 해당하는 원자의 두 번째 전자 껍질에는 최대 (2 개, 8 개)의 전자가 채워진다. → 본문(p.64): 원자 번호 3번~18번에 해당하는 원자의 두 번째, 세 번째 전자 껍질에는 최대 8 개의 전자가 채워진다.</w:t>
            </w:r>
          </w:p>
          <w:p>
            <w:pPr>
              <w:ind w:left="170" w:hanging="170"/>
            </w:pPr>
            <w:r>
              <w:rPr>
                <w:rFonts w:ascii="맑은 고딕" w:hAnsi="맑은 고딕" w:eastAsia="맑은 고딕"/>
                <w:b w:val="0"/>
                <w:i w:val="0"/>
              </w:rPr>
              <w:t>2. 같은 족에 속하는 원소는 원자의 전자 배치에서 전자가 채워진 전자 껍질의 수가 같아서 유사한 화학적 성질을 가진다. (○, ×) → 본문(p.65): 같은 족 = 원자가 전자의 수가 같다, 전자 껍질 수가 같은 것은 같은 주기(×)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관찰(2·3주기 모형 그림에서 전자 껍질 수·가장 바깥 껍질 전자 수 세기) · 분류(같은 주기 / 같은 족으로 묶기) · 추리(전자 배치의 공통점 → 화학적 성질이 비슷한 까닭) · 의사소통(토의)</w:t>
            </w:r>
          </w:p>
          <w:p>
            <w:r>
              <w:rPr>
                <w:rFonts w:ascii="맑은 고딕" w:hAnsi="맑은 고딕" w:eastAsia="맑은 고딕"/>
                <w:b w:val="0"/>
                <w:i w:val="0"/>
              </w:rPr>
              <w:t>통합: 자료 해석(모형 그림의 규칙 찾기) · 모형 사용(보어 원자 모형, 이미 그려진 모형을 읽기만 함) · 결론 도출(원자가 전자 수가 같으면 화학적 성질이 비슷, 원자가 전자 수의 주기적 변화 → 주기성) · 일반화(1족 리튬·나트륨·칼륨, 17족 플루오린·염소·브로민으로 확장) / 변인 통제: 해당 없음(실험이 아닌 모형 해석 활동) — 굳이 짚으면 ‘원자 번호 증가’에 따라 ‘전자 껍질 수·원자가 전자 수’가 어떻게 변하는지 보는 자료 해석</w:t>
            </w:r>
          </w:p>
          <w:p>
            <w:r>
              <w:rPr>
                <w:rFonts w:ascii="맑은 고딕" w:hAnsi="맑은 고딕" w:eastAsia="맑은 고딕"/>
                <w:b w:val="0"/>
                <w:i w:val="0"/>
              </w:rPr>
              <w:t>교과서 표기: 해 보기에 탐구 기능·역량 표기 없음(활동지 아이콘) / 지도 길잡이: 전자를 배치하는 원리 이해, 공통점·차이점·규칙성 확인 / 차시 평가 Tip: 보고서·발표·지필 평가</w:t>
            </w:r>
          </w:p>
        </w:tc>
        <w:tc>
          <w:tcPr>
            <w:tcW w:type="dxa" w:w="7200"/>
            <w:tcMar>
              <w:top w:w="22" w:type="dxa"/>
              <w:bottom w:w="22" w:type="dxa"/>
            </w:tcMar>
          </w:tcPr>
          <w:p>
            <w:r>
              <w:rPr>
                <w:rFonts w:ascii="맑은 고딕" w:hAnsi="맑은 고딕" w:eastAsia="맑은 고딕"/>
                <w:b w:val="0"/>
                <w:i w:val="0"/>
              </w:rPr>
              <w:t>기초: 관찰(전자 껍질 그림) · 측정 대신 세기(원자 번호만큼 붙임딱지) · 분류(완성된 모형을 주기·족 칸에 붙임) · 추리(규칙성) · 의사소통(반 전체가 1~18번 분담해 칠판 주기율표 완성)</w:t>
            </w:r>
          </w:p>
          <w:p>
            <w:r>
              <w:rPr>
                <w:rFonts w:ascii="맑은 고딕" w:hAnsi="맑은 고딕" w:eastAsia="맑은 고딕"/>
                <w:b w:val="0"/>
                <w:i w:val="0"/>
              </w:rPr>
              <w:t>통합: 모형 개발 및 사용(투명 전자 껍질 3장에 직접 전자 채우기, 겹쳐 원자 모형 완성) · 자료 해석(칠판 주기율표에서 규칙성 찾기) · 결론 도출(같은 주기 = 껍질 수, 같은 족 = 원자가 전자 수) · 일반화(새 원소가 알칼리 금속과 비슷하면 원자가 전자 1) / 변인 통제: 해당 없음(모형 활동) — 전자 채우는 규칙(낮은 껍질부터, 2개·8개·8개)을 미리 본문으로 알려 주고 적용하게 함</w:t>
            </w:r>
          </w:p>
          <w:p>
            <w:r>
              <w:rPr>
                <w:rFonts w:ascii="맑은 고딕" w:hAnsi="맑은 고딕" w:eastAsia="맑은 고딕"/>
                <w:b w:val="0"/>
                <w:i w:val="0"/>
              </w:rPr>
              <w:t>교과서 표기: 탐구 능력 · 문제 해결 능력 / 실험 영상 QR / 디지털 탐색(보어 원자 모형 시뮬레이션) / 스스로 확인하기 2문항</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2주기에서 3주기로 넘어갈 때 나트륨의 11번째 전자는 왜 두 번째 껍질이 아니라 세 번째 껍질에 들어갈까? ‘8개를 채우고 싶어서’가 아니라 에너지 준위로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같은 주기 원소들은 껍질 수가 같은데 성질은 다르고, 같은 족 원소들은 껍질 수가 다른데 성질이 비슷하다. 화학적 성질을 정하는 것은 전자 배치의 어느 부분일까?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네온과 아르곤은 가장 바깥 껍질에 전자가 8개인데 왜 원자가 전자 수를 0으로 할까? 이 원소들이 거의 반응하지 않는 사실과 어떻게 연결될까?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이 활동에서 우리가 ‘조작’하거나 ‘측정’하는 것이 있을까? 모형을 보고 규칙을 찾는 활동에서 쓰이는 탐구 기능은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앞 탐구(알칼리 금속·할로젠의 반응성)에서 본 같은 족 원소의 비슷한 성질을, 이 모형 그림의 어떤 공통점으로 설명할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그림의 전자를 원 위 어디에 그리느냐(위·옆·대각선)가 의미가 있을까? 모형에서 의미 있는 정보와 그림 표현일 뿐인 것을 구별해 보자.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내가 고른 원자 번호의 전자를 첫 번째 껍질부터 채워야 하는 까닭은 무엇일까? 세 번째 껍질에 먼저 붙이면 어떤 점이 틀린 것일까?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반 전체 모형을 칠판 주기율표에 붙였을 때, 세로줄(족)과 가로줄(주기)에서 각각 무엇이 같아지는가?</w:t>
            </w:r>
          </w:p>
          <w:p>
            <w:pPr>
              <w:ind w:left="170" w:hanging="170"/>
            </w:pPr>
            <w:r>
              <w:rPr>
                <w:rFonts w:ascii="맑은 고딕" w:hAnsi="맑은 고딕" w:eastAsia="맑은 고딕"/>
                <w:b/>
                <w:i w:val="0"/>
              </w:rPr>
              <w:t xml:space="preserve">Q. </w:t>
            </w:r>
            <w:r>
              <w:rPr>
                <w:rFonts w:ascii="맑은 고딕" w:hAnsi="맑은 고딕" w:eastAsia="맑은 고딕"/>
                <w:b w:val="0"/>
                <w:i w:val="0"/>
              </w:rPr>
              <w:t>헬륨은 바깥 껍질 전자가 2개인데 왜 2족이 아니라 18족에 놓일까? 네온·아르곤과 공통점은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‘원자는 8개를 채우고 싶어 한다’는 말은 맞는 설명일까? 두 번째 껍질에 전자가 8개 넘게 들어가지 않는 까닭을 에너지 준위로 말해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원자가 전자 수만 맞추면 모형이 다 옳은 것일까? 원자핵 전하량(원자 번호)과 전체 전자 수가 같은지 확인해야 하는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새로 발견한 원소가 알칼리 금속과 비슷한 성질을 가진다면 원자가 전자 수가 1일 것이라고 예측할 수 있는 근거는 무엇일까?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 기구·시약을 쓰지 않는 모형 해석 활동이므로 안전 사항 없음 — 대신 그림을 정확히 세도록 지도(3주기 원자는 전자 수가 많아 세다가 틀리기 쉬움)</w:t>
            </w:r>
          </w:p>
          <w:p>
            <w:pPr>
              <w:ind w:left="170" w:hanging="170"/>
            </w:pPr>
            <w:r>
              <w:rPr>
                <w:rFonts w:ascii="맑은 고딕" w:hAnsi="맑은 고딕" w:eastAsia="맑은 고딕"/>
                <w:b w:val="0"/>
                <w:i w:val="0"/>
              </w:rPr>
              <w:t>• 같은 주기 = 껍질 수, 같은 족 = 원자가 전자 수를 서로 바꾸어 말하지 않게 한다(확인하기·지필 평가에서 자주 혼동)</w:t>
            </w:r>
          </w:p>
          <w:p>
            <w:pPr>
              <w:ind w:left="170" w:hanging="170"/>
            </w:pPr>
            <w:r>
              <w:rPr>
                <w:rFonts w:ascii="맑은 고딕" w:hAnsi="맑은 고딕" w:eastAsia="맑은 고딕"/>
                <w:b w:val="0"/>
                <w:i w:val="0"/>
              </w:rPr>
              <w:t>• 18족은 가장 바깥 껍질 전자 8개(헬륨 2개)지만 원자가 전자 수 0 — 최외각 전자와 원자가 전자를 구별(p.65 곁글·교사용 보충)</w:t>
            </w:r>
          </w:p>
          <w:p>
            <w:pPr>
              <w:ind w:left="170" w:hanging="170"/>
            </w:pPr>
            <w:r>
              <w:rPr>
                <w:rFonts w:ascii="맑은 고딕" w:hAnsi="맑은 고딕" w:eastAsia="맑은 고딕"/>
                <w:b w:val="0"/>
                <w:i w:val="0"/>
              </w:rPr>
              <w:t>• 세 번째 껍질 최대 8개는 원자 번호 18번까지에서 쓰는 보어 모형 수준의 규칙이며 현대 모형에서는 최대 18개(교사용 보충 ‘보어 원자 모형의 한계’) — 학생에게 ‘껍질은 언제나 8개’로 일반화되지 않게</w:t>
            </w:r>
          </w:p>
          <w:p>
            <w:pPr>
              <w:ind w:left="170" w:hanging="170"/>
            </w:pPr>
            <w:r>
              <w:rPr>
                <w:rFonts w:ascii="맑은 고딕" w:hAnsi="맑은 고딕" w:eastAsia="맑은 고딕"/>
                <w:b w:val="0"/>
                <w:i w:val="0"/>
              </w:rPr>
              <w:t>• 전자 껍질은 전자가 실제로 도는 원형 길이 아니라 에너지 준위를 나타낸 모형임을 함께 언급(보어 모형의 한계)</w:t>
            </w:r>
          </w:p>
          <w:p>
            <w:pPr>
              <w:ind w:left="170" w:hanging="170"/>
            </w:pPr>
            <w:r>
              <w:rPr>
                <w:rFonts w:ascii="맑은 고딕" w:hAnsi="맑은 고딕" w:eastAsia="맑은 고딕"/>
                <w:b w:val="0"/>
                <w:i w:val="0"/>
              </w:rPr>
              <w:t>☐ 2·3주기 각 원자의 전자 수 = 원자 번호 확인  ☐ 껍질 수 세어 주기와 비교  ☐ 가장 바깥 껍질 전자 수 세어 족과 비교  ☐ 18족 원자가 전자 0 확인  ☐ 같은 족 성질이 비슷한 까닭 토의·발표  ☐ 확인하기(원자가 전자) 답하기</w:t>
            </w:r>
          </w:p>
        </w:tc>
        <w:tc>
          <w:tcPr>
            <w:tcW w:type="dxa" w:w="7200"/>
            <w:tcMar>
              <w:top w:w="22" w:type="dxa"/>
              <w:bottom w:w="22" w:type="dxa"/>
            </w:tcMar>
          </w:tcPr>
          <w:p>
            <w:pPr>
              <w:ind w:left="170" w:hanging="170"/>
            </w:pPr>
            <w:r>
              <w:rPr>
                <w:rFonts w:ascii="맑은 고딕" w:hAnsi="맑은 고딕" w:eastAsia="맑은 고딕"/>
                <w:b w:val="0"/>
                <w:i w:val="0"/>
              </w:rPr>
              <w:t>• 실험 기구·시약을 쓰지 않는 모형 제작 활동 — 투명 전자 껍질(부록 175 쪽)·붙임딱지(부록 177 쪽)를 미리 떼어 준비</w:t>
            </w:r>
          </w:p>
          <w:p>
            <w:pPr>
              <w:ind w:left="170" w:hanging="170"/>
            </w:pPr>
            <w:r>
              <w:rPr>
                <w:rFonts w:ascii="맑은 고딕" w:hAnsi="맑은 고딕" w:eastAsia="맑은 고딕"/>
                <w:b w:val="0"/>
                <w:i w:val="0"/>
              </w:rPr>
              <w:t>• 원자핵에 원자 번호 뒤 ‘+’를 붙여 전하량 표시(도움말), 붙임딱지 수 = 원자 번호인지 확인</w:t>
            </w:r>
          </w:p>
          <w:p>
            <w:pPr>
              <w:ind w:left="170" w:hanging="170"/>
            </w:pPr>
            <w:r>
              <w:rPr>
                <w:rFonts w:ascii="맑은 고딕" w:hAnsi="맑은 고딕" w:eastAsia="맑은 고딕"/>
                <w:b w:val="0"/>
                <w:i w:val="0"/>
              </w:rPr>
              <w:t>• 첫 번째 껍질 2개 → 두 번째 껍질 8개 → 세 번째 껍질 순으로 채우고, 세 장을 겹칠 때 원자핵이 중심에 오게 맞춘다(과정 3)</w:t>
            </w:r>
          </w:p>
          <w:p>
            <w:pPr>
              <w:ind w:left="170" w:hanging="170"/>
            </w:pPr>
            <w:r>
              <w:rPr>
                <w:rFonts w:ascii="맑은 고딕" w:hAnsi="맑은 고딕" w:eastAsia="맑은 고딕"/>
                <w:b w:val="0"/>
                <w:i w:val="0"/>
              </w:rPr>
              <w:t>• 1~18번을 반 전체가 남김없이 나누도록 하고(과정 1), 학생 수가 18명보다 적거나 많을 때 분담 방법을 미리 정한다 — 교과서에 언급 없음</w:t>
            </w:r>
          </w:p>
          <w:p>
            <w:pPr>
              <w:ind w:left="170" w:hanging="170"/>
            </w:pPr>
            <w:r>
              <w:rPr>
                <w:rFonts w:ascii="맑은 고딕" w:hAnsi="맑은 고딕" w:eastAsia="맑은 고딕"/>
                <w:b w:val="0"/>
                <w:i w:val="0"/>
              </w:rPr>
              <w:t>• ‘원자 번호 3번~18번의 두 번째·세 번째 껍질 최대 8개’는 이 범위에서만 쓰는 규칙임을 짚기(교과서에 현대 모형 언급 없음)</w:t>
            </w:r>
          </w:p>
          <w:p>
            <w:pPr>
              <w:ind w:left="170" w:hanging="170"/>
            </w:pPr>
            <w:r>
              <w:rPr>
                <w:rFonts w:ascii="맑은 고딕" w:hAnsi="맑은 고딕" w:eastAsia="맑은 고딕"/>
                <w:b w:val="0"/>
                <w:i w:val="0"/>
              </w:rPr>
              <w:t>☐ 원자 번호 고르기(1~18 빠짐없이)  ☐ 원자핵 전하량 표시  ☐ 원자 번호만큼 붙임딱지를 낮은 껍질부터 붙이기  ☐ 껍질 3장 겹치기  ☐ 칠판 주기율표에 붙이기  ☐ 주기·족의 규칙성 설명  ☐ 스스로 확인하기 2문항</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‘원소들의 성질이 주기성을 나타내는 현상을 통해 자연의 규칙성을 도출’ → 2·3주기 전자 배치 모형에서 같은 주기(껍질 수)·같은 족(원자가 전자 수)의 공통점을 찾고, 본문에서 ‘원자가 전자의 수가 주기적으로 변하기 때문에 원소의 성질이 주기성을 나타낸다’로 결론</w:t>
            </w:r>
          </w:p>
          <w:p>
            <w:r>
              <w:rPr>
                <w:rFonts w:ascii="맑은 고딕" w:hAnsi="맑은 고딕" w:eastAsia="맑은 고딕"/>
                <w:b w:val="0"/>
                <w:i w:val="0"/>
              </w:rPr>
              <w:t>✔ 해설 ‘1족과 17족 원소를 통해 동족 원소의 유사한 화학적 성질’ → 본문 예를 1족(리튬·나트륨·칼륨 1개)과 17족(플루오린·염소·브로민 7개)으로 정확히 한정, 확인하기도 플루오린·염소로 출제</w:t>
            </w:r>
          </w:p>
          <w:p>
            <w:r>
              <w:rPr>
                <w:rFonts w:ascii="맑은 고딕" w:hAnsi="맑은 고딕" w:eastAsia="맑은 고딕"/>
                <w:b w:val="0"/>
                <w:i w:val="0"/>
              </w:rPr>
              <w:t>✔ 해설 ‘전자껍질 모형을 이용한 전자배치’ → 보어 모형(그림 Ⅱ-19), 껍질별 최대 전자 수(2개, 8개), 표 Ⅱ-1(수소·탄소·마그네슘 = 지구와 생명체를 구성하는 원소)로 단계적 제시</w:t>
            </w:r>
          </w:p>
          <w:p>
            <w:r>
              <w:rPr>
                <w:rFonts w:ascii="맑은 고딕" w:hAnsi="맑은 고딕" w:eastAsia="맑은 고딕"/>
                <w:b/>
                <w:i w:val="0"/>
              </w:rPr>
              <w:t>△ 해 보기가 완성된 모형 그림을 읽고 토의하는 활동에 그쳐 학생이 전자 배치를 직접 만들지 않음(전자를 채우는 원리는 지도 길잡이 목표에만 있음), 탐구 기능 표기도 없음</w:t>
            </w:r>
          </w:p>
          <w:p>
            <w:r>
              <w:rPr>
                <w:rFonts w:ascii="맑은 고딕" w:hAnsi="맑은 고딕" w:eastAsia="맑은 고딕"/>
                <w:b/>
                <w:i w:val="0"/>
              </w:rPr>
              <w:t>△ 해설 후반 ‘안정성을 지닌 원소와 비교하여 결합 형성 이유 설명’과의 연결은 곁글 ‘18족 원자가 전자 수 0(대부분 반응하지 않음)’ 한 줄뿐 — 다음 주제 화학 결합으로 넘어가기 전에 18족 전자 배치를 따로 짚을 필요</w:t>
            </w:r>
          </w:p>
          <w:p>
            <w:r>
              <w:rPr>
                <w:rFonts w:ascii="맑은 고딕" w:hAnsi="맑은 고딕" w:eastAsia="맑은 고딕"/>
                <w:b/>
                <w:i w:val="0"/>
              </w:rPr>
              <w:t>△ 1주기(수소·헬륨)가 해 보기 그림에 없어 헬륨(바깥 껍질 2개인데 18족)의 예외를 다루지 않음 / 세 번째 껍질 최대 8개 문제는 교사용 보충에만 있음</w:t>
            </w:r>
          </w:p>
          <w:p>
            <w:r>
              <w:rPr>
                <w:rFonts w:ascii="맑은 고딕" w:hAnsi="맑은 고딕" w:eastAsia="맑은 고딕"/>
                <w:b w:val="0"/>
                <w:i w:val="0"/>
              </w:rPr>
              <w:t>※ 비교: 비상은 2·3주기 완성 그림을 보고 ‘공통점 설명 → 토의’하는 해석 활동, 예시 답안이 본문 결론과 같은 문장, 18족 원자가 전자 0을 곁글로 명시 / 미래엔은 반 전체가 1~18번을 나누어 투명 전자 껍질에 직접 전자를 채워 칠판 주기율표를 완성하는 모형 제작 활동(탐구 능력·문제 해결 능력)으로 학생 참여가 크지만, 18족 원자가 전자 처리와 17족 예가 본문에 없음</w:t>
            </w:r>
          </w:p>
        </w:tc>
        <w:tc>
          <w:tcPr>
            <w:tcW w:type="dxa" w:w="7200"/>
            <w:tcMar>
              <w:top w:w="22" w:type="dxa"/>
              <w:bottom w:w="22" w:type="dxa"/>
            </w:tcMar>
          </w:tcPr>
          <w:p>
            <w:r>
              <w:rPr>
                <w:rFonts w:ascii="맑은 고딕" w:hAnsi="맑은 고딕" w:eastAsia="맑은 고딕"/>
                <w:b w:val="0"/>
                <w:i w:val="0"/>
              </w:rPr>
              <w:t>✔ 성취기준 ‘주기성 현상을 통해 자연의 규칙성 도출’ → 반 전체가 만든 1~18번 모형을 칠판 주기율표에 붙여 규칙성을 직접 찾게 하고, 본문을 ‘자연 세계에서는 자연의 규칙성에 따라 주기적인 변화가 일어난다’로 맺어 성취기준 문구(자연의 규칙성)를 그대로 반영</w:t>
            </w:r>
          </w:p>
          <w:p>
            <w:r>
              <w:rPr>
                <w:rFonts w:ascii="맑은 고딕" w:hAnsi="맑은 고딕" w:eastAsia="맑은 고딕"/>
                <w:b w:val="0"/>
                <w:i w:val="0"/>
              </w:rPr>
              <w:t>✔ 해설 ‘전자껍질 모형을 이용한 전자배치’ → 에너지 준위 용어 정의, 낮은 껍질부터 채워짐, 껍질별 최대 수를 먼저 제시한 뒤 학생이 투명 전자 껍질로 직접 모형 개발(고려할 모형 활용·협업)</w:t>
            </w:r>
          </w:p>
          <w:p>
            <w:r>
              <w:rPr>
                <w:rFonts w:ascii="맑은 고딕" w:hAnsi="맑은 고딕" w:eastAsia="맑은 고딕"/>
                <w:b w:val="0"/>
                <w:i w:val="0"/>
              </w:rPr>
              <w:t>✔ 1주기(수소·헬륨)까지 그림 Ⅱ-17에 넣고, ‘새 원소가 알칼리 금속과 비슷하면 원자가 전자 1’이라는 예측으로 규칙의 활용까지 보여 줌</w:t>
            </w:r>
          </w:p>
          <w:p>
            <w:r>
              <w:rPr>
                <w:rFonts w:ascii="맑은 고딕" w:hAnsi="맑은 고딕" w:eastAsia="맑은 고딕"/>
                <w:b/>
                <w:i w:val="0"/>
              </w:rPr>
              <w:t>△ 해설 ‘1족과 17족’ 중 17족은 본문 질문(1족·17족 원자가 전자 수를 써 보자)에만 있고 답이 되는 문장이 없음, 18족 원자가 전자 수(0)를 다루지 않아 ‘원자가 전자 = 가장 바깥 껍질 전자’로 오해할 여지</w:t>
            </w:r>
          </w:p>
          <w:p>
            <w:r>
              <w:rPr>
                <w:rFonts w:ascii="맑은 고딕" w:hAnsi="맑은 고딕" w:eastAsia="맑은 고딕"/>
                <w:b/>
                <w:i w:val="0"/>
              </w:rPr>
              <w:t>△ ‘원자 번호 3번~18번 원자의 두 번째, 세 번째 전자 껍질 최대 8개’를 범위 제한 설명 없이 제시 → 세 번째 껍질도 언제나 최대 8개라는 과잉 일반화 위험 / 안정한 18족과 비교한 결합 이유는 다음 주제로 넘어감</w:t>
            </w:r>
          </w:p>
          <w:p>
            <w:r>
              <w:rPr>
                <w:rFonts w:ascii="맑은 고딕" w:hAnsi="맑은 고딕" w:eastAsia="맑은 고딕"/>
                <w:b/>
                <w:i w:val="0"/>
              </w:rPr>
              <w:t>△ 해 보기 정리 1문항에 예시 답안 없음(학생용), 붙임딱지 위치(전자를 껍질 위 어디에 붙일지)의 규칙은 예시 그림으로만 제시</w:t>
            </w:r>
          </w:p>
          <w:p>
            <w:r>
              <w:rPr>
                <w:rFonts w:ascii="맑은 고딕" w:hAnsi="맑은 고딕" w:eastAsia="맑은 고딕"/>
                <w:b w:val="0"/>
                <w:i w:val="0"/>
              </w:rPr>
              <w:t>※ 비교: 미래엔은 ‘직접 만드는’ 모형 개발 활동 + 반 전체 협업으로 규칙성 도출, 비상은 ‘완성된 모형을 읽는’ 해석·토의 활동 / 원자가 전자 정의 — 비상 ‘가장 바깥 전자 껍질에 들어 있으면서 화학 반응에 관여하는 전자’, 미래엔 ‘가장 바깥쪽 전자 껍질에 채워져 있으며 원소의 화학적 성질과 관련되어 있는 전자’ / 18족 0 처리는 비상만, 1주기 포함은 미래엔만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83097"/>
                        <wp:docPr id="18" name="Picture 18"/>
                        <wp:cNvGraphicFramePr>
                          <a:graphicFrameLocks noChangeAspect="1"/>
                        </wp:cNvGraphicFramePr>
                        <a:graphic>
                          <a:graphicData uri="http://schemas.openxmlformats.org/drawingml/2006/picture">
                            <pic:pic>
                              <pic:nvPicPr>
                                <pic:cNvPr id="0" name="T202_vb1.jpg"/>
                                <pic:cNvPicPr/>
                              </pic:nvPicPr>
                              <pic:blipFill>
                                <a:blip r:embed="rId26"/>
                                <a:stretch>
                                  <a:fillRect/>
                                </a:stretch>
                              </pic:blipFill>
                              <pic:spPr>
                                <a:xfrm>
                                  <a:off x="0" y="0"/>
                                  <a:ext cx="2106000" cy="683097"/>
                                </a:xfrm>
                                <a:prstGeom prst="rect"/>
                              </pic:spPr>
                            </pic:pic>
                          </a:graphicData>
                        </a:graphic>
                      </wp:inline>
                    </w:drawing>
                  </w:r>
                </w:p>
                <w:p>
                  <w:pPr>
                    <w:spacing w:after="60"/>
                    <w:jc w:val="center"/>
                  </w:pPr>
                  <w:r>
                    <w:rPr>
                      <w:rFonts w:ascii="맑은 고딕" w:hAnsi="맑은 고딕" w:eastAsia="맑은 고딕"/>
                      <w:b w:val="0"/>
                      <w:i w:val="0"/>
                    </w:rPr>
                    <w:t>p.64 본문 도입(같은 족 원소의 성질, 보어 모형과 전자 껍질)</w:t>
                  </w:r>
                </w:p>
              </w:tc>
              <w:tc>
                <w:tcPr>
                  <w:tcW w:type="dxa" w:w="3487"/>
                  <w:vAlign w:val="top"/>
                </w:tcPr>
                <w:p>
                  <w:pPr>
                    <w:spacing w:line="240" w:lineRule="auto"/>
                    <w:jc w:val="center"/>
                  </w:pPr>
                  <w:r>
                    <w:drawing>
                      <wp:inline xmlns:a="http://schemas.openxmlformats.org/drawingml/2006/main" xmlns:pic="http://schemas.openxmlformats.org/drawingml/2006/picture">
                        <wp:extent cx="2106000" cy="902203"/>
                        <wp:docPr id="19" name="Picture 19"/>
                        <wp:cNvGraphicFramePr>
                          <a:graphicFrameLocks noChangeAspect="1"/>
                        </wp:cNvGraphicFramePr>
                        <a:graphic>
                          <a:graphicData uri="http://schemas.openxmlformats.org/drawingml/2006/picture">
                            <pic:pic>
                              <pic:nvPicPr>
                                <pic:cNvPr id="0" name="T202_vb2.jpg"/>
                                <pic:cNvPicPr/>
                              </pic:nvPicPr>
                              <pic:blipFill>
                                <a:blip r:embed="rId27"/>
                                <a:stretch>
                                  <a:fillRect/>
                                </a:stretch>
                              </pic:blipFill>
                              <pic:spPr>
                                <a:xfrm>
                                  <a:off x="0" y="0"/>
                                  <a:ext cx="2106000" cy="902203"/>
                                </a:xfrm>
                                <a:prstGeom prst="rect"/>
                              </pic:spPr>
                            </pic:pic>
                          </a:graphicData>
                        </a:graphic>
                      </wp:inline>
                    </w:drawing>
                  </w:r>
                </w:p>
                <w:p>
                  <w:pPr>
                    <w:spacing w:after="60"/>
                    <w:jc w:val="center"/>
                  </w:pPr>
                  <w:r>
                    <w:rPr>
                      <w:rFonts w:ascii="맑은 고딕" w:hAnsi="맑은 고딕" w:eastAsia="맑은 고딕"/>
                      <w:b w:val="0"/>
                      <w:i w:val="0"/>
                    </w:rPr>
                    <w:t>p.64 그림 Ⅱ-19 보어의 원자 모형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54211"/>
                        <wp:docPr id="20" name="Picture 20"/>
                        <wp:cNvGraphicFramePr>
                          <a:graphicFrameLocks noChangeAspect="1"/>
                        </wp:cNvGraphicFramePr>
                        <a:graphic>
                          <a:graphicData uri="http://schemas.openxmlformats.org/drawingml/2006/picture">
                            <pic:pic>
                              <pic:nvPicPr>
                                <pic:cNvPr id="0" name="T202_vb3.jpg"/>
                                <pic:cNvPicPr/>
                              </pic:nvPicPr>
                              <pic:blipFill>
                                <a:blip r:embed="rId28"/>
                                <a:stretch>
                                  <a:fillRect/>
                                </a:stretch>
                              </pic:blipFill>
                              <pic:spPr>
                                <a:xfrm>
                                  <a:off x="0" y="0"/>
                                  <a:ext cx="2106000" cy="554211"/>
                                </a:xfrm>
                                <a:prstGeom prst="rect"/>
                              </pic:spPr>
                            </pic:pic>
                          </a:graphicData>
                        </a:graphic>
                      </wp:inline>
                    </w:drawing>
                  </w:r>
                </w:p>
                <w:p>
                  <w:pPr>
                    <w:spacing w:after="60"/>
                    <w:jc w:val="center"/>
                  </w:pPr>
                  <w:r>
                    <w:rPr>
                      <w:rFonts w:ascii="맑은 고딕" w:hAnsi="맑은 고딕" w:eastAsia="맑은 고딕"/>
                      <w:b w:val="0"/>
                      <w:i w:val="0"/>
                    </w:rPr>
                    <w:t>p.64 본문(전자 껍질별 최대 전자 수)</w:t>
                  </w:r>
                </w:p>
              </w:tc>
              <w:tc>
                <w:tcPr>
                  <w:tcW w:type="dxa" w:w="3487"/>
                  <w:vAlign w:val="top"/>
                </w:tcPr>
                <w:p>
                  <w:pPr>
                    <w:spacing w:line="240" w:lineRule="auto"/>
                    <w:jc w:val="center"/>
                  </w:pPr>
                  <w:r>
                    <w:drawing>
                      <wp:inline xmlns:a="http://schemas.openxmlformats.org/drawingml/2006/main" xmlns:pic="http://schemas.openxmlformats.org/drawingml/2006/picture">
                        <wp:extent cx="2106000" cy="1043978"/>
                        <wp:docPr id="21" name="Picture 21"/>
                        <wp:cNvGraphicFramePr>
                          <a:graphicFrameLocks noChangeAspect="1"/>
                        </wp:cNvGraphicFramePr>
                        <a:graphic>
                          <a:graphicData uri="http://schemas.openxmlformats.org/drawingml/2006/picture">
                            <pic:pic>
                              <pic:nvPicPr>
                                <pic:cNvPr id="0" name="T202_vb4.jpg"/>
                                <pic:cNvPicPr/>
                              </pic:nvPicPr>
                              <pic:blipFill>
                                <a:blip r:embed="rId29"/>
                                <a:stretch>
                                  <a:fillRect/>
                                </a:stretch>
                              </pic:blipFill>
                              <pic:spPr>
                                <a:xfrm>
                                  <a:off x="0" y="0"/>
                                  <a:ext cx="2106000" cy="1043978"/>
                                </a:xfrm>
                                <a:prstGeom prst="rect"/>
                              </pic:spPr>
                            </pic:pic>
                          </a:graphicData>
                        </a:graphic>
                      </wp:inline>
                    </w:drawing>
                  </w:r>
                </w:p>
                <w:p>
                  <w:pPr>
                    <w:spacing w:after="60"/>
                    <w:jc w:val="center"/>
                  </w:pPr>
                  <w:r>
                    <w:rPr>
                      <w:rFonts w:ascii="맑은 고딕" w:hAnsi="맑은 고딕" w:eastAsia="맑은 고딕"/>
                      <w:b w:val="0"/>
                      <w:i w:val="0"/>
                    </w:rPr>
                    <w:t>p.64 표 Ⅱ-1 수소, 탄소, 마그네슘의 원자 모형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44752" cy="1036320"/>
                        <wp:docPr id="22" name="Picture 22"/>
                        <wp:cNvGraphicFramePr>
                          <a:graphicFrameLocks noChangeAspect="1"/>
                        </wp:cNvGraphicFramePr>
                        <a:graphic>
                          <a:graphicData uri="http://schemas.openxmlformats.org/drawingml/2006/picture">
                            <pic:pic>
                              <pic:nvPicPr>
                                <pic:cNvPr id="0" name="T202_vb5.jpg"/>
                                <pic:cNvPicPr/>
                              </pic:nvPicPr>
                              <pic:blipFill>
                                <a:blip r:embed="rId30"/>
                                <a:stretch>
                                  <a:fillRect/>
                                </a:stretch>
                              </pic:blipFill>
                              <pic:spPr>
                                <a:xfrm>
                                  <a:off x="0" y="0"/>
                                  <a:ext cx="1444752" cy="1036320"/>
                                </a:xfrm>
                                <a:prstGeom prst="rect"/>
                              </pic:spPr>
                            </pic:pic>
                          </a:graphicData>
                        </a:graphic>
                      </wp:inline>
                    </w:drawing>
                  </w:r>
                </w:p>
                <w:p>
                  <w:pPr>
                    <w:spacing w:after="60"/>
                    <w:jc w:val="center"/>
                  </w:pPr>
                  <w:r>
                    <w:rPr>
                      <w:rFonts w:ascii="맑은 고딕" w:hAnsi="맑은 고딕" w:eastAsia="맑은 고딕"/>
                      <w:b w:val="0"/>
                      <w:i w:val="0"/>
                    </w:rPr>
                    <w:t>p.64 곁글 원자의 구조</w:t>
                  </w:r>
                </w:p>
              </w:tc>
              <w:tc>
                <w:tcPr>
                  <w:tcW w:type="dxa" w:w="3487"/>
                  <w:vAlign w:val="top"/>
                </w:tcPr>
                <w:p>
                  <w:pPr>
                    <w:spacing w:line="240" w:lineRule="auto"/>
                    <w:jc w:val="center"/>
                  </w:pPr>
                  <w:r>
                    <w:drawing>
                      <wp:inline xmlns:a="http://schemas.openxmlformats.org/drawingml/2006/main" xmlns:pic="http://schemas.openxmlformats.org/drawingml/2006/picture">
                        <wp:extent cx="2106000" cy="206724"/>
                        <wp:docPr id="23" name="Picture 23"/>
                        <wp:cNvGraphicFramePr>
                          <a:graphicFrameLocks noChangeAspect="1"/>
                        </wp:cNvGraphicFramePr>
                        <a:graphic>
                          <a:graphicData uri="http://schemas.openxmlformats.org/drawingml/2006/picture">
                            <pic:pic>
                              <pic:nvPicPr>
                                <pic:cNvPr id="0" name="T202_vb6.jpg"/>
                                <pic:cNvPicPr/>
                              </pic:nvPicPr>
                              <pic:blipFill>
                                <a:blip r:embed="rId31"/>
                                <a:stretch>
                                  <a:fillRect/>
                                </a:stretch>
                              </pic:blipFill>
                              <pic:spPr>
                                <a:xfrm>
                                  <a:off x="0" y="0"/>
                                  <a:ext cx="2106000" cy="206724"/>
                                </a:xfrm>
                                <a:prstGeom prst="rect"/>
                              </pic:spPr>
                            </pic:pic>
                          </a:graphicData>
                        </a:graphic>
                      </wp:inline>
                    </w:drawing>
                  </w:r>
                </w:p>
                <w:p>
                  <w:pPr>
                    <w:spacing w:after="60"/>
                    <w:jc w:val="center"/>
                  </w:pPr>
                  <w:r>
                    <w:rPr>
                      <w:rFonts w:ascii="맑은 고딕" w:hAnsi="맑은 고딕" w:eastAsia="맑은 고딕"/>
                      <w:b w:val="0"/>
                      <w:i w:val="0"/>
                    </w:rPr>
                    <w:t>p.65 본문(해 보기 도입)</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07779"/>
                        <wp:docPr id="24" name="Picture 24"/>
                        <wp:cNvGraphicFramePr>
                          <a:graphicFrameLocks noChangeAspect="1"/>
                        </wp:cNvGraphicFramePr>
                        <a:graphic>
                          <a:graphicData uri="http://schemas.openxmlformats.org/drawingml/2006/picture">
                            <pic:pic>
                              <pic:nvPicPr>
                                <pic:cNvPr id="0" name="T202_vb7.jpg"/>
                                <pic:cNvPicPr/>
                              </pic:nvPicPr>
                              <pic:blipFill>
                                <a:blip r:embed="rId32"/>
                                <a:stretch>
                                  <a:fillRect/>
                                </a:stretch>
                              </pic:blipFill>
                              <pic:spPr>
                                <a:xfrm>
                                  <a:off x="0" y="0"/>
                                  <a:ext cx="2106000" cy="1007779"/>
                                </a:xfrm>
                                <a:prstGeom prst="rect"/>
                              </pic:spPr>
                            </pic:pic>
                          </a:graphicData>
                        </a:graphic>
                      </wp:inline>
                    </w:drawing>
                  </w:r>
                </w:p>
                <w:p>
                  <w:pPr>
                    <w:spacing w:after="60"/>
                    <w:jc w:val="center"/>
                  </w:pPr>
                  <w:r>
                    <w:rPr>
                      <w:rFonts w:ascii="맑은 고딕" w:hAnsi="맑은 고딕" w:eastAsia="맑은 고딕"/>
                      <w:b w:val="0"/>
                      <w:i w:val="0"/>
                    </w:rPr>
                    <w:t>p.65 본문 결론(같은 주기·같은 족, 원자가 전자, 주기성의 까닭)</w:t>
                  </w:r>
                </w:p>
              </w:tc>
              <w:tc>
                <w:tcPr>
                  <w:tcW w:type="dxa" w:w="3487"/>
                  <w:vAlign w:val="top"/>
                </w:tcPr>
                <w:p>
                  <w:pPr>
                    <w:spacing w:line="240" w:lineRule="auto"/>
                    <w:jc w:val="center"/>
                  </w:pPr>
                  <w:r>
                    <w:drawing>
                      <wp:inline xmlns:a="http://schemas.openxmlformats.org/drawingml/2006/main" xmlns:pic="http://schemas.openxmlformats.org/drawingml/2006/picture">
                        <wp:extent cx="1444752" cy="701040"/>
                        <wp:docPr id="25" name="Picture 25"/>
                        <wp:cNvGraphicFramePr>
                          <a:graphicFrameLocks noChangeAspect="1"/>
                        </wp:cNvGraphicFramePr>
                        <a:graphic>
                          <a:graphicData uri="http://schemas.openxmlformats.org/drawingml/2006/picture">
                            <pic:pic>
                              <pic:nvPicPr>
                                <pic:cNvPr id="0" name="T202_vb8.jpg"/>
                                <pic:cNvPicPr/>
                              </pic:nvPicPr>
                              <pic:blipFill>
                                <a:blip r:embed="rId33"/>
                                <a:stretch>
                                  <a:fillRect/>
                                </a:stretch>
                              </pic:blipFill>
                              <pic:spPr>
                                <a:xfrm>
                                  <a:off x="0" y="0"/>
                                  <a:ext cx="1444752" cy="701040"/>
                                </a:xfrm>
                                <a:prstGeom prst="rect"/>
                              </pic:spPr>
                            </pic:pic>
                          </a:graphicData>
                        </a:graphic>
                      </wp:inline>
                    </w:drawing>
                  </w:r>
                </w:p>
                <w:p>
                  <w:pPr>
                    <w:spacing w:after="60"/>
                    <w:jc w:val="center"/>
                  </w:pPr>
                  <w:r>
                    <w:rPr>
                      <w:rFonts w:ascii="맑은 고딕" w:hAnsi="맑은 고딕" w:eastAsia="맑은 고딕"/>
                      <w:b w:val="0"/>
                      <w:i w:val="0"/>
                    </w:rPr>
                    <w:t>p.65 곁글 18족 원소의 원자가 전자의 수</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986882"/>
                        <wp:docPr id="26" name="Picture 26"/>
                        <wp:cNvGraphicFramePr>
                          <a:graphicFrameLocks noChangeAspect="1"/>
                        </wp:cNvGraphicFramePr>
                        <a:graphic>
                          <a:graphicData uri="http://schemas.openxmlformats.org/drawingml/2006/picture">
                            <pic:pic>
                              <pic:nvPicPr>
                                <pic:cNvPr id="0" name="T202_mb1.jpg"/>
                                <pic:cNvPicPr/>
                              </pic:nvPicPr>
                              <pic:blipFill>
                                <a:blip r:embed="rId34"/>
                                <a:stretch>
                                  <a:fillRect/>
                                </a:stretch>
                              </pic:blipFill>
                              <pic:spPr>
                                <a:xfrm>
                                  <a:off x="0" y="0"/>
                                  <a:ext cx="2106000" cy="1986882"/>
                                </a:xfrm>
                                <a:prstGeom prst="rect"/>
                              </pic:spPr>
                            </pic:pic>
                          </a:graphicData>
                        </a:graphic>
                      </wp:inline>
                    </w:drawing>
                  </w:r>
                </w:p>
                <w:p>
                  <w:pPr>
                    <w:spacing w:after="60"/>
                    <w:jc w:val="center"/>
                  </w:pPr>
                  <w:r>
                    <w:rPr>
                      <w:rFonts w:ascii="맑은 고딕" w:hAnsi="맑은 고딕" w:eastAsia="맑은 고딕"/>
                      <w:b w:val="0"/>
                      <w:i w:val="0"/>
                    </w:rPr>
                    <w:t>p.64 그림 Ⅱ-16 원자 모형(탄소 원자)</w:t>
                  </w:r>
                </w:p>
              </w:tc>
              <w:tc>
                <w:tcPr>
                  <w:tcW w:type="dxa" w:w="3487"/>
                  <w:vAlign w:val="top"/>
                </w:tcPr>
                <w:p>
                  <w:pPr>
                    <w:spacing w:line="240" w:lineRule="auto"/>
                    <w:jc w:val="center"/>
                  </w:pPr>
                  <w:r>
                    <w:drawing>
                      <wp:inline xmlns:a="http://schemas.openxmlformats.org/drawingml/2006/main" xmlns:pic="http://schemas.openxmlformats.org/drawingml/2006/picture">
                        <wp:extent cx="2106000" cy="1458729"/>
                        <wp:docPr id="27" name="Picture 27"/>
                        <wp:cNvGraphicFramePr>
                          <a:graphicFrameLocks noChangeAspect="1"/>
                        </wp:cNvGraphicFramePr>
                        <a:graphic>
                          <a:graphicData uri="http://schemas.openxmlformats.org/drawingml/2006/picture">
                            <pic:pic>
                              <pic:nvPicPr>
                                <pic:cNvPr id="0" name="T202_mb2.jpg"/>
                                <pic:cNvPicPr/>
                              </pic:nvPicPr>
                              <pic:blipFill>
                                <a:blip r:embed="rId35"/>
                                <a:stretch>
                                  <a:fillRect/>
                                </a:stretch>
                              </pic:blipFill>
                              <pic:spPr>
                                <a:xfrm>
                                  <a:off x="0" y="0"/>
                                  <a:ext cx="2106000" cy="1458729"/>
                                </a:xfrm>
                                <a:prstGeom prst="rect"/>
                              </pic:spPr>
                            </pic:pic>
                          </a:graphicData>
                        </a:graphic>
                      </wp:inline>
                    </w:drawing>
                  </w:r>
                </w:p>
                <w:p>
                  <w:pPr>
                    <w:spacing w:after="60"/>
                    <w:jc w:val="center"/>
                  </w:pPr>
                  <w:r>
                    <w:rPr>
                      <w:rFonts w:ascii="맑은 고딕" w:hAnsi="맑은 고딕" w:eastAsia="맑은 고딕"/>
                      <w:b w:val="0"/>
                      <w:i w:val="0"/>
                    </w:rPr>
                    <w:t>p.64 본문 원소의 주기성과 자연의 규칙성(전자 껍질, 에너지 준위, 껍질별 최대 전자 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32560" cy="646176"/>
                        <wp:docPr id="28" name="Picture 28"/>
                        <wp:cNvGraphicFramePr>
                          <a:graphicFrameLocks noChangeAspect="1"/>
                        </wp:cNvGraphicFramePr>
                        <a:graphic>
                          <a:graphicData uri="http://schemas.openxmlformats.org/drawingml/2006/picture">
                            <pic:pic>
                              <pic:nvPicPr>
                                <pic:cNvPr id="0" name="T202_mb3.jpg"/>
                                <pic:cNvPicPr/>
                              </pic:nvPicPr>
                              <pic:blipFill>
                                <a:blip r:embed="rId36"/>
                                <a:stretch>
                                  <a:fillRect/>
                                </a:stretch>
                              </pic:blipFill>
                              <pic:spPr>
                                <a:xfrm>
                                  <a:off x="0" y="0"/>
                                  <a:ext cx="1432560" cy="646176"/>
                                </a:xfrm>
                                <a:prstGeom prst="rect"/>
                              </pic:spPr>
                            </pic:pic>
                          </a:graphicData>
                        </a:graphic>
                      </wp:inline>
                    </w:drawing>
                  </w:r>
                </w:p>
                <w:p>
                  <w:pPr>
                    <w:spacing w:after="60"/>
                    <w:jc w:val="center"/>
                  </w:pPr>
                  <w:r>
                    <w:rPr>
                      <w:rFonts w:ascii="맑은 고딕" w:hAnsi="맑은 고딕" w:eastAsia="맑은 고딕"/>
                      <w:b w:val="0"/>
                      <w:i w:val="0"/>
                    </w:rPr>
                    <w:t>p.64 용어 에너지 준위</w:t>
                  </w:r>
                </w:p>
              </w:tc>
              <w:tc>
                <w:tcPr>
                  <w:tcW w:type="dxa" w:w="3487"/>
                  <w:vAlign w:val="top"/>
                </w:tcPr>
                <w:p>
                  <w:pPr>
                    <w:spacing w:line="240" w:lineRule="auto"/>
                    <w:jc w:val="center"/>
                  </w:pPr>
                  <w:r>
                    <w:drawing>
                      <wp:inline xmlns:a="http://schemas.openxmlformats.org/drawingml/2006/main" xmlns:pic="http://schemas.openxmlformats.org/drawingml/2006/picture">
                        <wp:extent cx="2106000" cy="616304"/>
                        <wp:docPr id="29" name="Picture 29"/>
                        <wp:cNvGraphicFramePr>
                          <a:graphicFrameLocks noChangeAspect="1"/>
                        </wp:cNvGraphicFramePr>
                        <a:graphic>
                          <a:graphicData uri="http://schemas.openxmlformats.org/drawingml/2006/picture">
                            <pic:pic>
                              <pic:nvPicPr>
                                <pic:cNvPr id="0" name="T202_mb4.jpg"/>
                                <pic:cNvPicPr/>
                              </pic:nvPicPr>
                              <pic:blipFill>
                                <a:blip r:embed="rId37"/>
                                <a:stretch>
                                  <a:fillRect/>
                                </a:stretch>
                              </pic:blipFill>
                              <pic:spPr>
                                <a:xfrm>
                                  <a:off x="0" y="0"/>
                                  <a:ext cx="2106000" cy="616304"/>
                                </a:xfrm>
                                <a:prstGeom prst="rect"/>
                              </pic:spPr>
                            </pic:pic>
                          </a:graphicData>
                        </a:graphic>
                      </wp:inline>
                    </w:drawing>
                  </w:r>
                </w:p>
                <w:p>
                  <w:pPr>
                    <w:spacing w:after="60"/>
                    <w:jc w:val="center"/>
                  </w:pPr>
                  <w:r>
                    <w:rPr>
                      <w:rFonts w:ascii="맑은 고딕" w:hAnsi="맑은 고딕" w:eastAsia="맑은 고딕"/>
                      <w:b w:val="0"/>
                      <w:i w:val="0"/>
                    </w:rPr>
                    <w:t>p.65 본문 원자가 전자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74012"/>
                        <wp:docPr id="30" name="Picture 30"/>
                        <wp:cNvGraphicFramePr>
                          <a:graphicFrameLocks noChangeAspect="1"/>
                        </wp:cNvGraphicFramePr>
                        <a:graphic>
                          <a:graphicData uri="http://schemas.openxmlformats.org/drawingml/2006/picture">
                            <pic:pic>
                              <pic:nvPicPr>
                                <pic:cNvPr id="0" name="T202_mb5.jpg"/>
                                <pic:cNvPicPr/>
                              </pic:nvPicPr>
                              <pic:blipFill>
                                <a:blip r:embed="rId38"/>
                                <a:stretch>
                                  <a:fillRect/>
                                </a:stretch>
                              </pic:blipFill>
                              <pic:spPr>
                                <a:xfrm>
                                  <a:off x="0" y="0"/>
                                  <a:ext cx="2106000" cy="1374012"/>
                                </a:xfrm>
                                <a:prstGeom prst="rect"/>
                              </pic:spPr>
                            </pic:pic>
                          </a:graphicData>
                        </a:graphic>
                      </wp:inline>
                    </w:drawing>
                  </w:r>
                </w:p>
                <w:p>
                  <w:pPr>
                    <w:spacing w:after="60"/>
                    <w:jc w:val="center"/>
                  </w:pPr>
                  <w:r>
                    <w:rPr>
                      <w:rFonts w:ascii="맑은 고딕" w:hAnsi="맑은 고딕" w:eastAsia="맑은 고딕"/>
                      <w:b w:val="0"/>
                      <w:i w:val="0"/>
                    </w:rPr>
                    <w:t>p.65 그림 Ⅱ-17 1주기~3주기 원자의 전자 배치(붕소의 원자가 전자)</w:t>
                  </w:r>
                </w:p>
              </w:tc>
              <w:tc>
                <w:tcPr>
                  <w:tcW w:type="dxa" w:w="3487"/>
                  <w:vAlign w:val="top"/>
                </w:tcPr>
                <w:p>
                  <w:pPr>
                    <w:spacing w:line="240" w:lineRule="auto"/>
                    <w:jc w:val="center"/>
                  </w:pPr>
                  <w:r>
                    <w:drawing>
                      <wp:inline xmlns:a="http://schemas.openxmlformats.org/drawingml/2006/main" xmlns:pic="http://schemas.openxmlformats.org/drawingml/2006/picture">
                        <wp:extent cx="2106000" cy="972443"/>
                        <wp:docPr id="31" name="Picture 31"/>
                        <wp:cNvGraphicFramePr>
                          <a:graphicFrameLocks noChangeAspect="1"/>
                        </wp:cNvGraphicFramePr>
                        <a:graphic>
                          <a:graphicData uri="http://schemas.openxmlformats.org/drawingml/2006/picture">
                            <pic:pic>
                              <pic:nvPicPr>
                                <pic:cNvPr id="0" name="T202_mb6.jpg"/>
                                <pic:cNvPicPr/>
                              </pic:nvPicPr>
                              <pic:blipFill>
                                <a:blip r:embed="rId39"/>
                                <a:stretch>
                                  <a:fillRect/>
                                </a:stretch>
                              </pic:blipFill>
                              <pic:spPr>
                                <a:xfrm>
                                  <a:off x="0" y="0"/>
                                  <a:ext cx="2106000" cy="972443"/>
                                </a:xfrm>
                                <a:prstGeom prst="rect"/>
                              </pic:spPr>
                            </pic:pic>
                          </a:graphicData>
                        </a:graphic>
                      </wp:inline>
                    </w:drawing>
                  </w:r>
                </w:p>
                <w:p>
                  <w:pPr>
                    <w:spacing w:after="60"/>
                    <w:jc w:val="center"/>
                  </w:pPr>
                  <w:r>
                    <w:rPr>
                      <w:rFonts w:ascii="맑은 고딕" w:hAnsi="맑은 고딕" w:eastAsia="맑은 고딕"/>
                      <w:b w:val="0"/>
                      <w:i w:val="0"/>
                    </w:rPr>
                    <w:t>p.65 본문 결론(같은 주기·같은 족, 주기성의 까닭, 자연의 규칙성)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83792" cy="829056"/>
                        <wp:docPr id="32" name="Picture 32"/>
                        <wp:cNvGraphicFramePr>
                          <a:graphicFrameLocks noChangeAspect="1"/>
                        </wp:cNvGraphicFramePr>
                        <a:graphic>
                          <a:graphicData uri="http://schemas.openxmlformats.org/drawingml/2006/picture">
                            <pic:pic>
                              <pic:nvPicPr>
                                <pic:cNvPr id="0" name="T202_mb7.jpg"/>
                                <pic:cNvPicPr/>
                              </pic:nvPicPr>
                              <pic:blipFill>
                                <a:blip r:embed="rId40"/>
                                <a:stretch>
                                  <a:fillRect/>
                                </a:stretch>
                              </pic:blipFill>
                              <pic:spPr>
                                <a:xfrm>
                                  <a:off x="0" y="0"/>
                                  <a:ext cx="1383792" cy="829056"/>
                                </a:xfrm>
                                <a:prstGeom prst="rect"/>
                              </pic:spPr>
                            </pic:pic>
                          </a:graphicData>
                        </a:graphic>
                      </wp:inline>
                    </w:drawing>
                  </w:r>
                </w:p>
                <w:p>
                  <w:pPr>
                    <w:spacing w:after="60"/>
                    <w:jc w:val="center"/>
                  </w:pPr>
                  <w:r>
                    <w:rPr>
                      <w:rFonts w:ascii="맑은 고딕" w:hAnsi="맑은 고딕" w:eastAsia="맑은 고딕"/>
                      <w:b w:val="0"/>
                      <w:i w:val="0"/>
                    </w:rPr>
                    <w:t>p.65 곁글 화학적 성질과 원자가 전자</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보어 원자 모형에서 전자는 특정한 에너지를 갖는 궤도(전자 껍질)를 따라 운동하며, 원자핵에 가까운 전자 껍질부터 차례로 배치된다(첫 번째 최대 2개, 두 번째 최대 8개)(p.64). 같은 주기 원소는 전자가 들어 있는 전자 껍질 수가 같고(2주기 2개, 3주기 3개), 같은 족 원소는 가장 바깥 전자 껍질에 들어 있으면서 화학 반응에 관여하는 원자가 전자 수가 같다(1족 1개, 17족 7개). 같은 족 원소는 원자가 전자 수가 같아 화학적 성질이 비슷하고, 전자 배치의 규칙성에 따라 원자가 전자 수가 주기적으로 변하므로 원소의 성질이 주기성을 나타낸다(p.65). 18족 원소는 대부분 반응하지 않아 원자가 전자 수를 0으로 한다(p.65 곁글)</w:t>
            </w:r>
          </w:p>
          <w:p>
            <w:r>
              <w:rPr>
                <w:rFonts w:ascii="맑은 고딕" w:hAnsi="맑은 고딕" w:eastAsia="맑은 고딕"/>
                <w:b w:val="0"/>
                <w:i w:val="0"/>
              </w:rPr>
              <w:t>표현 특징(비상): ‘전자 껍질’을 ‘궤도’로 정의(에너지 준위라는 용어는 학생 본문에 없음, 교사용 보충에만), ‘원자핵에 가까운 전자 껍질부터 차례로 배치’, 원자가 전자를 ‘화학 반응에 관여하는 전자’로 정의, ‘전자가 들어 있는 전자 껍질’ / 미래엔은 ‘에너지 준위’를 용어로 정의하고 ‘에너지 준위가 낮은 껍질부터 채워진다’로 에너지 근거를 명시, ‘전자가 채워진 전자 껍질’, 원자가 전자를 ‘화학적 성질과 관련되어 있는 전자’로 정의, 마무리를 ‘자연의 규칙성’으로 맺음</w:t>
            </w:r>
          </w:p>
        </w:tc>
        <w:tc>
          <w:tcPr>
            <w:tcW w:type="dxa" w:w="7200"/>
            <w:tcMar>
              <w:top w:w="22" w:type="dxa"/>
              <w:bottom w:w="22" w:type="dxa"/>
            </w:tcMar>
          </w:tcPr>
          <w:p>
            <w:r>
              <w:rPr>
                <w:rFonts w:ascii="맑은 고딕" w:hAnsi="맑은 고딕" w:eastAsia="맑은 고딕"/>
                <w:b w:val="0"/>
                <w:i w:val="0"/>
              </w:rPr>
              <w:t>원자핵 주위의 전자는 특정한 에너지 준위를 가지는 궤도(전자 껍질)에 존재하며, 에너지 준위는 원자핵과 가까울수록 낮고 전자는 에너지 준위가 낮은 전자 껍질부터 채워진다(첫 번째 최대 2개, 원자 번호 3번~18번 원자의 두 번째·세 번째 최대 8개)(p.64). 가장 바깥쪽 전자 껍질에 채워져 있으며 원소의 화학적 성질과 관련되어 있는 전자 = 원자가 전자(p.65). 같은 주기 원소는 전자가 채워진 전자 껍질 수가 같고, 같은 족 원소는 원자가 전자 수가 같다. 원자가 전자는 원소의 화학적 성질을 결정하므로 같은 족 원소는 유사한 화학적 성질을 가진다. 원소들의 성질이 주기성을 나타내는 것은 규칙에 따라 원자의 전자 배치가 달라지면서 원자가 전자 수가 주기적으로 변하기 때문이며, 이처럼 자연 세계에서는 자연의 규칙성에 따라 주기적인 변화가 일어난다(p.65)</w:t>
            </w:r>
          </w:p>
          <w:p>
            <w:r>
              <w:rPr>
                <w:rFonts w:ascii="맑은 고딕" w:hAnsi="맑은 고딕" w:eastAsia="맑은 고딕"/>
                <w:b w:val="0"/>
                <w:i w:val="0"/>
              </w:rPr>
              <w:t>표현 특징(미래엔): ‘에너지 준위’ 용어 정의와 ‘낮은 껍질부터 채워진다’는 에너지 근거 제시(비상은 ‘가까운 껍질부터 차례로 배치’), 세 번째 껍질 최대 8개를 ‘원자 번호 3번~18번’ 범위로 명시(비상 학생 본문은 첫 번째·두 번째 껍질만), 원자가 전자는 ‘원소의 화학적 성질을 결정’·‘화학 결합에 관여’(곁글), 18족 원자가 전자 0 언급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원자는 전자 8개를 채우고 싶어서(안정해지고 싶어서) 그렇게 배치된다 → 전자는 에너지 준위가 낮은 껍질부터 채워지며, 한 껍질에 들어갈 수 있는 수가 차면 에너지가 더 높은 다음 껍질로 간다. 8은 원자의 ‘목표’가 아니라 에너지가 낮아지는 배치가 멈추는 지점 (미래엔 p.64 ‘에너지 준위가 낮은 전자 껍질부터 채워진다’ / 비상 p.64 ‘가까운 전자 껍질부터 차례로’, 강의 자료 옥텟 의인화)</w:t>
            </w:r>
          </w:p>
          <w:p>
            <w:pPr>
              <w:ind w:left="170" w:hanging="170"/>
            </w:pPr>
            <w:r>
              <w:rPr>
                <w:rFonts w:ascii="맑은 고딕" w:hAnsi="맑은 고딕" w:eastAsia="맑은 고딕"/>
                <w:b w:val="0"/>
                <w:i w:val="0"/>
              </w:rPr>
              <w:t>• 같은 족 원소는 전자 껍질 수가 같아서 성질이 비슷하다 → 전자 껍질 수가 같은 것은 같은 주기이고, 같은 족은 원자가 전자 수가 같다 (미래엔 p.65 스스로 확인하기 2(×) / 비상 p.65 해 보기 주기·족 예시 답안)</w:t>
            </w:r>
          </w:p>
          <w:p>
            <w:pPr>
              <w:ind w:left="170" w:hanging="170"/>
            </w:pPr>
            <w:r>
              <w:rPr>
                <w:rFonts w:ascii="맑은 고딕" w:hAnsi="맑은 고딕" w:eastAsia="맑은 고딕"/>
                <w:b w:val="0"/>
                <w:i w:val="0"/>
              </w:rPr>
              <w:t>• 원자가 전자 = 가장 바깥 껍질의 전자이므로 네온·아르곤의 원자가 전자는 8개다 → 18족은 대부분 다른 원소와 반응하지 않으므로 원자가 전자 수를 0으로 한다(최외각 전자와 원자가 전자는 다른 개념) (비상 p.65 곁글·교사용 보충 / 미래엔 언급 없음)</w:t>
            </w:r>
          </w:p>
        </w:tc>
        <w:tc>
          <w:tcPr>
            <w:tcW w:type="dxa" w:w="7200"/>
            <w:tcMar>
              <w:top w:w="22" w:type="dxa"/>
              <w:bottom w:w="22" w:type="dxa"/>
            </w:tcMar>
          </w:tcPr>
          <w:p>
            <w:pPr>
              <w:ind w:left="170" w:hanging="170"/>
            </w:pPr>
            <w:r>
              <w:rPr>
                <w:rFonts w:ascii="맑은 고딕" w:hAnsi="맑은 고딕" w:eastAsia="맑은 고딕"/>
                <w:b w:val="0"/>
                <w:i w:val="0"/>
              </w:rPr>
              <w:t>• 세 번째 전자 껍질에는 언제나 최대 8개만 들어간다 → 원자 번호 18번까지 다루는 보어 모형 수준의 규칙이며, 현대 원자 모형에서는 세 번째 껍질에 최대 18개까지 배치될 수 있다 (비상 p.64 교사용 보충 ‘보어 원자 모형의 한계’ / 미래엔 p.64 ‘원자 번호 3번~18번’ 범위 표현)</w:t>
            </w:r>
          </w:p>
          <w:p>
            <w:pPr>
              <w:ind w:left="170" w:hanging="170"/>
            </w:pPr>
            <w:r>
              <w:rPr>
                <w:rFonts w:ascii="맑은 고딕" w:hAnsi="맑은 고딕" w:eastAsia="맑은 고딕"/>
                <w:b w:val="0"/>
                <w:i w:val="0"/>
              </w:rPr>
              <w:t>• 전자는 전자 껍질이라는 원형 길을 따라 실제로 돌고 있다 → 전자 껍질은 전자가 가지는 특정한 에너지 준위를 나타낸 모형이며, 보어 모형은 다전자 원자의 스펙트럼을 설명하기 어려운 한계가 있다 (미래엔 p.64 에너지 준위 정의 / 비상 p.64 교사용 보충)</w:t>
            </w:r>
          </w:p>
          <w:p>
            <w:pPr>
              <w:ind w:left="170" w:hanging="170"/>
            </w:pPr>
            <w:r>
              <w:rPr>
                <w:rFonts w:ascii="맑은 고딕" w:hAnsi="맑은 고딕" w:eastAsia="맑은 고딕"/>
                <w:b w:val="0"/>
                <w:i w:val="0"/>
              </w:rPr>
              <w:t>• 헬륨은 바깥 껍질 전자가 2개이므로 2족 원소와 성질이 비슷하다 → 헬륨은 첫 번째 껍질이 가득 찬 18족 원소로 네온·아르곤처럼 거의 반응하지 않는다 (미래엔 p.65 그림 Ⅱ-17 헬륨 18족 배치 / 비상 해 보기 그림에 1주기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같은 족 원소는 왜 성질이 비슷할까?(앞 탐구에서 문제 인식) → ② 보어 모형: 전자 껍질, 에너지가 낮은(가까운) 껍질부터 채움, 최대 2·8개 → ③ 전자 배치 모형 활동(비상: 2·3주기 그림 읽기 / 미래엔: 1~18번 직접 제작) → ④ 같은 주기 = 전자 껍질 수, 같은 족 = 원자가 전자 수(1족 1, 17족 7, 18족 0) → ⑤ 원자가 전자 수의 주기적 반복 → 원소 성질의 주기성, 다음 주제(18족과 비교한 결합)로 연결   ※ 보완: 비상은 직접 채워 보기, 미래엔은 18족 원자가 전자 0과 ‘세 번째 껍질 8개는 18번까지’를 짚기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통과1</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물질과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[10통과1-02-03] 세상을 구성하는 원소들의 성질이 주기성을 나타내는 현상을 통해 자연의 규칙성을 도출하고, 지구와 생명체를 구성하는 주요 원소들이 결합을 형성하는 이유를 해석할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화학 결합이 형성되는 까닭(이온 결합·공유 결합)</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p.66 · 본문 p.66~67</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p.67, 71 · 본문 p.66~70</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목표(p.58 학습 목표): 지구와 생명체를 구성하는 주요 원소들이 결합을 형성하는 까닭을 해석할 수 있다. (소단원 1 원소의 주기성과 화학 결합, 4차시 중 마지막 차시)</w:t>
            </w:r>
          </w:p>
          <w:p>
            <w:r>
              <w:rPr>
                <w:rFonts w:ascii="맑은 고딕" w:hAnsi="맑은 고딕" w:eastAsia="맑은 고딕"/>
                <w:b w:val="0"/>
                <w:i w:val="0"/>
              </w:rPr>
              <w:t>준비물: 해 보기는 활동지(QR)만 제시, 별도 준비물 없음 — 그림의 수소·산소·나트륨·염소 원자 전자 배치 모형으로 활동 / 과학 역량 기르기: 시화 작품(종이·필기구)</w:t>
            </w:r>
          </w:p>
          <w:p>
            <w:r>
              <w:rPr>
                <w:rFonts w:ascii="맑은 고딕" w:hAnsi="맑은 고딕" w:eastAsia="맑은 고딕"/>
                <w:b w:val="0"/>
                <w:i w:val="0"/>
              </w:rPr>
              <w:t>도입(p.66): 대부분의 원소는 원자 상태로 존재하지 않고 화학 결합을 형성하지만 18족 원소인 헬륨, 네온, 아르곤 등은 원자 상태로 존재한다. … 18족 이외의 원소들은 18족 원소처럼 안정해지려고 한다. 지구와 생명체를 구성하는 원소들이 18족 원소처럼 안정해지려면 어떻게 해야 하는지 다음 활동으로 알아보자.</w:t>
            </w:r>
          </w:p>
          <w:p>
            <w:r>
              <w:rPr>
                <w:rFonts w:ascii="맑은 고딕" w:hAnsi="맑은 고딕" w:eastAsia="맑은 고딕"/>
                <w:b w:val="0"/>
                <w:i w:val="0"/>
              </w:rPr>
              <w:t>그림 Ⅱ-20 캡션(p.66): 헬륨은 수소보다 안정적이고 공기보다 밀도가 낮아 비행선을 띄우는 데 이용된다. / 아르곤은 용접할 때 용접 부위가 산소와 반응하지 않도록 보호하는 데 이용된다. / 18족 원소는 잘 반응하지 않아 비활성 기체라고도 불린다.</w:t>
            </w:r>
          </w:p>
          <w:p>
            <w:r>
              <w:rPr>
                <w:rFonts w:ascii="맑은 고딕" w:hAnsi="맑은 고딕" w:eastAsia="맑은 고딕"/>
                <w:b w:val="0"/>
                <w:i w:val="0"/>
              </w:rPr>
              <w:t>교사용 보충(p.66 옥텟 규칙): 18족 이외의 원소들이 화학 결합을 형성할 때 18족 원소처럼 가장 바깥 전자 껍질에 전자 8 개가 채워지면 가장 안정한 상태라고 여기는 규칙. 주로 s와 p오비탈에 전자가 채워지는 2, 3주기 전형 원소 사이의 화학 결합에 잘 적용된다. / 교사용 보충(p.67): 공유 전자쌍과 비공유 전자쌍, 다중 결합(2중·3중 결합)</w:t>
            </w:r>
          </w:p>
          <w:p>
            <w:r>
              <w:rPr>
                <w:rFonts w:ascii="맑은 고딕" w:hAnsi="맑은 고딕" w:eastAsia="맑은 고딕"/>
                <w:b w:val="0"/>
                <w:i w:val="0"/>
              </w:rPr>
              <w:t>확인하기(p.67): 양이온과 음이온 사이의 정전기적 인력으로 형성되는 화학 결합은 무엇인지 쓰시오. — A. 이온 결합 / 자료 영상 QR 2개(이온 결합·공유 결합) / 차시 평가 Tip: 보고서 평가, 발표 평가, 지필 평가</w:t>
            </w:r>
          </w:p>
          <w:p>
            <w:r>
              <w:rPr>
                <w:rFonts w:ascii="맑은 고딕" w:hAnsi="맑은 고딕" w:eastAsia="맑은 고딕"/>
                <w:b/>
                <w:i w:val="0"/>
              </w:rPr>
              <w:t>탐구 기능 표기 없음(해 보기는 활동지 아이콘만) / 해 보기 질문 2개 + 본문 이온 결합·공유 결합 정의(p.67)까지 02-03 차시에서 마무리하고, 02-04는 다음 소단원 2 화학 결합과 물질의 성질(p.68, 학습 목표 ‘결합의 차이 설명’, ‘성질 비교’)에서 시작 — 이온·공유 결합 ‘정의’는 02-03 쪽, ‘성질’은 02-04 쪽으로 나뉨</w:t>
            </w:r>
          </w:p>
        </w:tc>
        <w:tc>
          <w:tcPr>
            <w:tcW w:type="dxa" w:w="7200"/>
            <w:tcMar>
              <w:top w:w="22" w:type="dxa"/>
              <w:bottom w:w="22" w:type="dxa"/>
            </w:tcMar>
          </w:tcPr>
          <w:p>
            <w:r>
              <w:rPr>
                <w:rFonts w:ascii="맑은 고딕" w:hAnsi="맑은 고딕" w:eastAsia="맑은 고딕"/>
                <w:b w:val="0"/>
                <w:i w:val="0"/>
              </w:rPr>
              <w:t>목표: 이 쪽(p.66~67)은 소단원 ‘원소의 주기성과 자연의 규칙성’의 끝부분으로 별도 목표 문장 없음 / p.68 소단원 4 학습 목표: 인류의 생존에 필수적인 물질들을 이루는 이온 결합과 공유 결합을 설명할 수 있다. 이온 결합 물질과 공유 결합 물질의 성질을 비교해 차이를 설명할 수 있다.</w:t>
            </w:r>
          </w:p>
          <w:p>
            <w:r>
              <w:rPr>
                <w:rFonts w:ascii="맑은 고딕" w:hAnsi="맑은 고딕" w:eastAsia="맑은 고딕"/>
                <w:b w:val="0"/>
                <w:i w:val="0"/>
              </w:rPr>
              <w:t>준비물: p.67 해 보기는 별도 준비물 없음(활동지 그림에 직접 씀) / p.71 해 보기: 64 쪽에서 만든 수소, 탄소, 질소, 플루오린의 원자 모형(투명 전자 껍질·파란색 붙임딱지), 스마트 기기</w:t>
            </w:r>
          </w:p>
          <w:p>
            <w:r>
              <w:rPr>
                <w:rFonts w:ascii="맑은 고딕" w:hAnsi="맑은 고딕" w:eastAsia="맑은 고딕"/>
                <w:b w:val="0"/>
                <w:i w:val="0"/>
              </w:rPr>
              <w:t>도입(p.66): 우리를 둘러싼 공기는 질소(N₂), 산소(O₂), 아르곤(Ar) 등의 기체로 구성된다. 질소와 산소를 이루는 원자들이 결합을 형성하는 까닭은 무엇일까? / p.67: 18족이 아닌 원소들은 18족 원소와 같은 전자 배치를 하여 안정해지려는 경향이 있다. 18족이 아닌 원소들이 안정해지는 방법을 알아보자.</w:t>
            </w:r>
          </w:p>
          <w:p>
            <w:r>
              <w:rPr>
                <w:rFonts w:ascii="맑은 고딕" w:hAnsi="맑은 고딕" w:eastAsia="맑은 고딕"/>
                <w:b w:val="0"/>
                <w:i w:val="0"/>
              </w:rPr>
              <w:t>곁글(p.66): 비활성 기체 — 18족 원소는 다른 원소와 잘 반응하지 않고 기체 상태로 존재하므로 비활성 기체라고 불린다. / 디지털 탐색: 대한화학회 ‘화학 이야기 - 주기율표’ 18족 원소 동영상 QR</w:t>
            </w:r>
          </w:p>
          <w:p>
            <w:r>
              <w:rPr>
                <w:rFonts w:ascii="맑은 고딕" w:hAnsi="맑은 고딕" w:eastAsia="맑은 고딕"/>
                <w:b w:val="0"/>
                <w:i w:val="0"/>
              </w:rPr>
              <w:t>그림 Ⅱ-18 캡션(p.66): 헬륨은 광고용 기구를 띄울 때, 네온은 빛을 내는 간판에, 아르곤은 이중창의 유리 사이를 채울 때 이용한다.</w:t>
            </w:r>
          </w:p>
          <w:p>
            <w:r>
              <w:rPr>
                <w:rFonts w:ascii="맑은 고딕" w:hAnsi="맑은 고딕" w:eastAsia="맑은 고딕"/>
                <w:b w:val="0"/>
                <w:i w:val="0"/>
              </w:rPr>
              <w:t>소단원 4 도입(p.68): 순수한 물은 전류가 흐르지 않지만 물에 젖은 손으로 전기 제품의 플러그를 콘센트에 꽂으면 감전될 수 있으므로 주의해야 한다. 물에 젖은 손으로 플러그를 꽂으면 감전될 수 있는 까닭은 무엇일까? (→ 02-04 전기 전도성으로 연결)</w:t>
            </w:r>
          </w:p>
          <w:p>
            <w:r>
              <w:rPr>
                <w:rFonts w:ascii="맑은 고딕" w:hAnsi="맑은 고딕" w:eastAsia="맑은 고딕"/>
                <w:b w:val="0"/>
                <w:i w:val="0"/>
              </w:rPr>
              <w:t>곁글: 정전기적 인력 — 서로 다른 전하를 띤 입자 사이에 작용하는 끌어당기는 힘(p.69) / 공유 전자쌍 — 공유 결합으로 이루어진 물질에서 원자들이 공유하고 있는 전자쌍. 물 분자와 산소 분자는 공유 전자쌍 수가 2이다(p.70) / 도움말(p.71): 원자 모형이 부족하면 친구들과 원자 모형을 모아 공유 결합을 나타낸다.</w:t>
            </w:r>
          </w:p>
          <w:p>
            <w:r>
              <w:rPr>
                <w:rFonts w:ascii="맑은 고딕" w:hAnsi="맑은 고딕" w:eastAsia="맑은 고딕"/>
                <w:b w:val="0"/>
                <w:i w:val="0"/>
              </w:rPr>
              <w:t>사고력(p.69): 칼슘(Ca)과 염소(Cl)가 결합해 염화 칼슘(CaCl₂)을 이루는 과정을 설명해 보자. / 창의성 펼치기(p.67): ‘원소의 주기성과 결합’ 단원 낱말 퍼즐 만들어 공유 플랫폼에 올리기</w:t>
            </w:r>
          </w:p>
          <w:p>
            <w:r>
              <w:rPr>
                <w:rFonts w:ascii="맑은 고딕" w:hAnsi="맑은 고딕" w:eastAsia="맑은 고딕"/>
                <w:b/>
                <w:i w:val="0"/>
              </w:rPr>
              <w:t>해 보기 2개(p.67 추론, p.71 모형) 모두 탐구 능력·문제 해결 능력 표기 / 학생용이라 예시 답안 없음 / ‘결합 형성 까닭’(p.66~67)은 소단원 3 끝에, 이온·공유 결합(p.68~71)은 02-04 학습 목표를 단 소단원 4에 배치 — 비상보다 이온·공유 결합의 형성 과정 서술(그림 4개, O₂, 1:1 개수비, 입체 구조)이 훨씬 길다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75859"/>
                        <wp:docPr id="33" name="Picture 33"/>
                        <wp:cNvGraphicFramePr>
                          <a:graphicFrameLocks noChangeAspect="1"/>
                        </wp:cNvGraphicFramePr>
                        <a:graphic>
                          <a:graphicData uri="http://schemas.openxmlformats.org/drawingml/2006/picture">
                            <pic:pic>
                              <pic:nvPicPr>
                                <pic:cNvPr id="0" name="T203_vp1.jpg"/>
                                <pic:cNvPicPr/>
                              </pic:nvPicPr>
                              <pic:blipFill>
                                <a:blip r:embed="rId41"/>
                                <a:stretch>
                                  <a:fillRect/>
                                </a:stretch>
                              </pic:blipFill>
                              <pic:spPr>
                                <a:xfrm>
                                  <a:off x="0" y="0"/>
                                  <a:ext cx="2106000" cy="575859"/>
                                </a:xfrm>
                                <a:prstGeom prst="rect"/>
                              </pic:spPr>
                            </pic:pic>
                          </a:graphicData>
                        </a:graphic>
                      </wp:inline>
                    </w:drawing>
                  </w:r>
                </w:p>
                <w:p>
                  <w:pPr>
                    <w:spacing w:after="60"/>
                    <w:jc w:val="center"/>
                  </w:pPr>
                  <w:r>
                    <w:rPr>
                      <w:rFonts w:ascii="맑은 고딕" w:hAnsi="맑은 고딕" w:eastAsia="맑은 고딕"/>
                      <w:b w:val="0"/>
                      <w:i w:val="0"/>
                    </w:rPr>
                    <w:t>p.66 해 보기 수소·산소·나트륨·염소 원자의 전자 배치 모형[기구]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443368"/>
                        <wp:docPr id="34" name="Picture 34"/>
                        <wp:cNvGraphicFramePr>
                          <a:graphicFrameLocks noChangeAspect="1"/>
                        </wp:cNvGraphicFramePr>
                        <a:graphic>
                          <a:graphicData uri="http://schemas.openxmlformats.org/drawingml/2006/picture">
                            <pic:pic>
                              <pic:nvPicPr>
                                <pic:cNvPr id="0" name="T203_vp2.jpg"/>
                                <pic:cNvPicPr/>
                              </pic:nvPicPr>
                              <pic:blipFill>
                                <a:blip r:embed="rId42"/>
                                <a:stretch>
                                  <a:fillRect/>
                                </a:stretch>
                              </pic:blipFill>
                              <pic:spPr>
                                <a:xfrm>
                                  <a:off x="0" y="0"/>
                                  <a:ext cx="2106000" cy="443368"/>
                                </a:xfrm>
                                <a:prstGeom prst="rect"/>
                              </pic:spPr>
                            </pic:pic>
                          </a:graphicData>
                        </a:graphic>
                      </wp:inline>
                    </w:drawing>
                  </w:r>
                </w:p>
                <w:p>
                  <w:pPr>
                    <w:spacing w:after="60"/>
                    <w:jc w:val="center"/>
                  </w:pPr>
                  <w:r>
                    <w:rPr>
                      <w:rFonts w:ascii="맑은 고딕" w:hAnsi="맑은 고딕" w:eastAsia="맑은 고딕"/>
                      <w:b w:val="0"/>
                      <w:i w:val="0"/>
                    </w:rPr>
                    <w:t>p.66 해 보기 정리 2 전자의 출입 예시 답안(교사용)[결과]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261872" cy="1432560"/>
                        <wp:docPr id="35" name="Picture 35"/>
                        <wp:cNvGraphicFramePr>
                          <a:graphicFrameLocks noChangeAspect="1"/>
                        </wp:cNvGraphicFramePr>
                        <a:graphic>
                          <a:graphicData uri="http://schemas.openxmlformats.org/drawingml/2006/picture">
                            <pic:pic>
                              <pic:nvPicPr>
                                <pic:cNvPr id="0" name="T203_vp3.jpg"/>
                                <pic:cNvPicPr/>
                              </pic:nvPicPr>
                              <pic:blipFill>
                                <a:blip r:embed="rId43"/>
                                <a:stretch>
                                  <a:fillRect/>
                                </a:stretch>
                              </pic:blipFill>
                              <pic:spPr>
                                <a:xfrm>
                                  <a:off x="0" y="0"/>
                                  <a:ext cx="1261872" cy="1432560"/>
                                </a:xfrm>
                                <a:prstGeom prst="rect"/>
                              </pic:spPr>
                            </pic:pic>
                          </a:graphicData>
                        </a:graphic>
                      </wp:inline>
                    </w:drawing>
                  </w:r>
                </w:p>
                <w:p>
                  <w:pPr>
                    <w:spacing w:after="60"/>
                    <w:jc w:val="center"/>
                  </w:pPr>
                  <w:r>
                    <w:rPr>
                      <w:rFonts w:ascii="맑은 고딕" w:hAnsi="맑은 고딕" w:eastAsia="맑은 고딕"/>
                      <w:b w:val="0"/>
                      <w:i w:val="0"/>
                    </w:rPr>
                    <w:t>p.67 과학 역량 기르기 시화 예시 작품 ‘화학 결합’[결과]</w:t>
                  </w:r>
                </w:p>
              </w:tc>
              <w:tc>
                <w:tcPr>
                  <w:tcW w:type="dxa" w:w="3487"/>
                </w:tcPr>
                <w:p/>
              </w:tc>
            </w:tr>
          </w:tbl>
          <w:p/>
          <w:p>
            <w:r>
              <w:rPr>
                <w:rFonts w:ascii="맑은 고딕" w:hAnsi="맑은 고딕" w:eastAsia="맑은 고딕"/>
                <w:b w:val="0"/>
                <w:i/>
              </w:rPr>
              <w:t>해 보기는 실험이 아닌 전자 배치 모형 활동지라 실험 기구·과정 사진 없음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74919"/>
                        <wp:docPr id="36" name="Picture 36"/>
                        <wp:cNvGraphicFramePr>
                          <a:graphicFrameLocks noChangeAspect="1"/>
                        </wp:cNvGraphicFramePr>
                        <a:graphic>
                          <a:graphicData uri="http://schemas.openxmlformats.org/drawingml/2006/picture">
                            <pic:pic>
                              <pic:nvPicPr>
                                <pic:cNvPr id="0" name="T203_mp1.jpg"/>
                                <pic:cNvPicPr/>
                              </pic:nvPicPr>
                              <pic:blipFill>
                                <a:blip r:embed="rId44"/>
                                <a:stretch>
                                  <a:fillRect/>
                                </a:stretch>
                              </pic:blipFill>
                              <pic:spPr>
                                <a:xfrm>
                                  <a:off x="0" y="0"/>
                                  <a:ext cx="2106000" cy="1274919"/>
                                </a:xfrm>
                                <a:prstGeom prst="rect"/>
                              </pic:spPr>
                            </pic:pic>
                          </a:graphicData>
                        </a:graphic>
                      </wp:inline>
                    </w:drawing>
                  </w:r>
                </w:p>
                <w:p>
                  <w:pPr>
                    <w:spacing w:after="60"/>
                    <w:jc w:val="center"/>
                  </w:pPr>
                  <w:r>
                    <w:rPr>
                      <w:rFonts w:ascii="맑은 고딕" w:hAnsi="맑은 고딕" w:eastAsia="맑은 고딕"/>
                      <w:b w:val="0"/>
                      <w:i w:val="0"/>
                    </w:rPr>
                    <w:t>p.67 해 보기 산소(예시)·나트륨·염소 전자 배치 활동지[기구·결과]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490438"/>
                        <wp:docPr id="37" name="Picture 37"/>
                        <wp:cNvGraphicFramePr>
                          <a:graphicFrameLocks noChangeAspect="1"/>
                        </wp:cNvGraphicFramePr>
                        <a:graphic>
                          <a:graphicData uri="http://schemas.openxmlformats.org/drawingml/2006/picture">
                            <pic:pic>
                              <pic:nvPicPr>
                                <pic:cNvPr id="0" name="T203_mp2.jpg"/>
                                <pic:cNvPicPr/>
                              </pic:nvPicPr>
                              <pic:blipFill>
                                <a:blip r:embed="rId45"/>
                                <a:stretch>
                                  <a:fillRect/>
                                </a:stretch>
                              </pic:blipFill>
                              <pic:spPr>
                                <a:xfrm>
                                  <a:off x="0" y="0"/>
                                  <a:ext cx="2106000" cy="490438"/>
                                </a:xfrm>
                                <a:prstGeom prst="rect"/>
                              </pic:spPr>
                            </pic:pic>
                          </a:graphicData>
                        </a:graphic>
                      </wp:inline>
                    </w:drawing>
                  </w:r>
                </w:p>
                <w:p>
                  <w:pPr>
                    <w:spacing w:after="60"/>
                    <w:jc w:val="center"/>
                  </w:pPr>
                  <w:r>
                    <w:rPr>
                      <w:rFonts w:ascii="맑은 고딕" w:hAnsi="맑은 고딕" w:eastAsia="맑은 고딕"/>
                      <w:b w:val="0"/>
                      <w:i w:val="0"/>
                    </w:rPr>
                    <w:t>p.71 해 보기 수소·탄소·질소·플루오린 원자 모형[기구]</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243584" cy="1341120"/>
                        <wp:docPr id="38" name="Picture 38"/>
                        <wp:cNvGraphicFramePr>
                          <a:graphicFrameLocks noChangeAspect="1"/>
                        </wp:cNvGraphicFramePr>
                        <a:graphic>
                          <a:graphicData uri="http://schemas.openxmlformats.org/drawingml/2006/picture">
                            <pic:pic>
                              <pic:nvPicPr>
                                <pic:cNvPr id="0" name="T203_mp3.jpg"/>
                                <pic:cNvPicPr/>
                              </pic:nvPicPr>
                              <pic:blipFill>
                                <a:blip r:embed="rId46"/>
                                <a:stretch>
                                  <a:fillRect/>
                                </a:stretch>
                              </pic:blipFill>
                              <pic:spPr>
                                <a:xfrm>
                                  <a:off x="0" y="0"/>
                                  <a:ext cx="1243584" cy="1341120"/>
                                </a:xfrm>
                                <a:prstGeom prst="rect"/>
                              </pic:spPr>
                            </pic:pic>
                          </a:graphicData>
                        </a:graphic>
                      </wp:inline>
                    </w:drawing>
                  </w:r>
                </w:p>
                <w:p>
                  <w:pPr>
                    <w:spacing w:after="60"/>
                    <w:jc w:val="center"/>
                  </w:pPr>
                  <w:r>
                    <w:rPr>
                      <w:rFonts w:ascii="맑은 고딕" w:hAnsi="맑은 고딕" w:eastAsia="맑은 고딕"/>
                      <w:b w:val="0"/>
                      <w:i w:val="0"/>
                    </w:rPr>
                    <w:t>p.71 해 보기 예시 플루오린화 수소(HF) 공유 결합 모형[결과]</w:t>
                  </w:r>
                </w:p>
              </w:tc>
              <w:tc>
                <w:tcPr>
                  <w:tcW w:type="dxa" w:w="3487"/>
                  <w:vAlign w:val="top"/>
                </w:tcPr>
                <w:p>
                  <w:pPr>
                    <w:spacing w:line="240" w:lineRule="auto"/>
                    <w:jc w:val="center"/>
                  </w:pPr>
                  <w:r>
                    <w:drawing>
                      <wp:inline xmlns:a="http://schemas.openxmlformats.org/drawingml/2006/main" xmlns:pic="http://schemas.openxmlformats.org/drawingml/2006/picture">
                        <wp:extent cx="2103120" cy="2407920"/>
                        <wp:docPr id="39" name="Picture 39"/>
                        <wp:cNvGraphicFramePr>
                          <a:graphicFrameLocks noChangeAspect="1"/>
                        </wp:cNvGraphicFramePr>
                        <a:graphic>
                          <a:graphicData uri="http://schemas.openxmlformats.org/drawingml/2006/picture">
                            <pic:pic>
                              <pic:nvPicPr>
                                <pic:cNvPr id="0" name="T203_mp4.jpg"/>
                                <pic:cNvPicPr/>
                              </pic:nvPicPr>
                              <pic:blipFill>
                                <a:blip r:embed="rId47"/>
                                <a:stretch>
                                  <a:fillRect/>
                                </a:stretch>
                              </pic:blipFill>
                              <pic:spPr>
                                <a:xfrm>
                                  <a:off x="0" y="0"/>
                                  <a:ext cx="2103120" cy="2407920"/>
                                </a:xfrm>
                                <a:prstGeom prst="rect"/>
                              </pic:spPr>
                            </pic:pic>
                          </a:graphicData>
                        </a:graphic>
                      </wp:inline>
                    </w:drawing>
                  </w:r>
                </w:p>
                <w:p>
                  <w:pPr>
                    <w:spacing w:after="60"/>
                    <w:jc w:val="center"/>
                  </w:pPr>
                  <w:r>
                    <w:rPr>
                      <w:rFonts w:ascii="맑은 고딕" w:hAnsi="맑은 고딕" w:eastAsia="맑은 고딕"/>
                      <w:b w:val="0"/>
                      <w:i w:val="0"/>
                    </w:rPr>
                    <w:t>p.71 해 보기 원자 모형을 겹쳐 공유 결합 나타내기[과정]</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18족 원소처럼 안정해지는 방법 알아보기 (p.66, 활동지)</w:t>
            </w:r>
          </w:p>
          <w:p>
            <w:pPr>
              <w:ind w:left="170" w:hanging="170"/>
            </w:pPr>
            <w:r>
              <w:rPr>
                <w:rFonts w:ascii="맑은 고딕" w:hAnsi="맑은 고딕" w:eastAsia="맑은 고딕"/>
                <w:b w:val="0"/>
                <w:i w:val="0"/>
              </w:rPr>
              <w:t>1) 그림은 수소(1+), 산소(8+), 나트륨(11+), 염소(17+) 원자의 전자 배치를 모형으로 나타낸 것이다. 전자 배치 모형을 살펴본다.</w:t>
            </w:r>
          </w:p>
          <w:p>
            <w:r>
              <w:rPr>
                <w:rFonts w:ascii="맑은 고딕" w:hAnsi="맑은 고딕" w:eastAsia="맑은 고딕"/>
                <w:b w:val="0"/>
                <w:i w:val="0"/>
              </w:rPr>
              <w:t>정리 1. 위 원소들과 18족 원소의 전자 배치는 어떤 차이가 있는지 설명해 보자.</w:t>
            </w:r>
          </w:p>
          <w:p>
            <w:pPr>
              <w:ind w:left="170" w:hanging="170"/>
            </w:pPr>
            <w:r>
              <w:rPr>
                <w:rFonts w:ascii="맑은 고딕" w:hAnsi="맑은 고딕" w:eastAsia="맑은 고딕"/>
                <w:b w:val="0"/>
                <w:i w:val="0"/>
              </w:rPr>
              <w:t>A. (교사용 예시 답안) 수소는 헬륨보다 전자 1 개가 적다. / 산소는 헬륨보다 전자 6 개가 많고, 네온보다는 전자 2 개가 적다. / 나트륨은 네온보다 전자 1 개가 많고, 아르곤보다는 전자 7 개가 적다. / 염소는 네온보다 전자 7 개가 많고, 아르곤보다는 전자 1 개가 적다.</w:t>
            </w:r>
          </w:p>
          <w:p>
            <w:r>
              <w:rPr>
                <w:rFonts w:ascii="맑은 고딕" w:hAnsi="맑은 고딕" w:eastAsia="맑은 고딕"/>
                <w:b w:val="0"/>
                <w:i w:val="0"/>
              </w:rPr>
              <w:t>정리 2. 위 원소들이 18족 원소와 같은 전자 배치를 이루기 위한 방법을 전자의 출입과 관련지어 이야기해 보자.</w:t>
            </w:r>
          </w:p>
          <w:p>
            <w:pPr>
              <w:ind w:left="170" w:hanging="170"/>
            </w:pPr>
            <w:r>
              <w:rPr>
                <w:rFonts w:ascii="맑은 고딕" w:hAnsi="맑은 고딕" w:eastAsia="맑은 고딕"/>
                <w:b w:val="0"/>
                <w:i w:val="0"/>
              </w:rPr>
              <w:t>A. 수소는 전자 1개를 얻으면 헬륨과 같은 전자 배치를 이룬다. / 산소는 전자 2개를 얻으면 네온과 같은 전자 배치를 이룬다. / 나트륨은 전자 1개를 잃으면 네온과 같은 전자 배치를 이룬다. / 염소는 전자 1개를 얻으면 아르곤과 같은 전자 배치를 이룬다.</w:t>
            </w:r>
          </w:p>
          <w:p>
            <w:r>
              <w:rPr>
                <w:rFonts w:ascii="맑은 고딕" w:hAnsi="맑은 고딕" w:eastAsia="맑은 고딕"/>
                <w:b w:val="0"/>
                <w:i w:val="0"/>
              </w:rPr>
              <w:t>본문 결론(p.66): 지구와 생명체를 구성하는 수소, 산소, 철 등 수많은 원소는 대부분 화학 결합을 형성하며, 이때 18족 원소와 같은 전자 배치를 이루어 안정해진다. 그렇다면 화학 결합의 종류에는 어떤 것이 있을까?</w:t>
            </w:r>
          </w:p>
          <w:p>
            <w:r>
              <w:rPr>
                <w:rFonts w:ascii="맑은 고딕" w:hAnsi="맑은 고딕" w:eastAsia="맑은 고딕"/>
                <w:b/>
                <w:i w:val="0"/>
              </w:rPr>
              <w:t>[본문] 이온 결합 (p.67, 그림 Ⅱ-21)</w:t>
            </w:r>
          </w:p>
          <w:p>
            <w:pPr>
              <w:ind w:left="170" w:hanging="170"/>
            </w:pPr>
            <w:r>
              <w:rPr>
                <w:rFonts w:ascii="맑은 고딕" w:hAnsi="맑은 고딕" w:eastAsia="맑은 고딕"/>
                <w:b w:val="0"/>
                <w:i w:val="0"/>
              </w:rPr>
              <w:t>1) 염화 나트륨이 생성될 때 나트륨 원자(Na)는 전자 1 개를 잃어 나트륨 이온(Na⁺)이 되고, 염소 원자(Cl)는 나트륨 원자가 내놓은 전자 1 개를 얻어 염화 이온(Cl⁻)이 된다.</w:t>
            </w:r>
          </w:p>
          <w:p>
            <w:pPr>
              <w:ind w:left="170" w:hanging="170"/>
            </w:pPr>
            <w:r>
              <w:rPr>
                <w:rFonts w:ascii="맑은 고딕" w:hAnsi="맑은 고딕" w:eastAsia="맑은 고딕"/>
                <w:b w:val="0"/>
                <w:i w:val="0"/>
              </w:rPr>
              <w:t>2) 반대의 전하를 띤 두 이온은 서로 끌어당겨 결합이 형성된다 → 양이온과 음이온 사이의 정전기적 인력으로 형성되는 화학 결합 = 이온 결합(주로 금속 원소와 비금속 원소 사이). 그림 Ⅱ-21: 나트륨 이온과 염화 이온은 각각 18족 원소인 네온, 아르곤과 같은 전자 배치를 이룬다.</w:t>
            </w:r>
          </w:p>
          <w:p>
            <w:r>
              <w:rPr>
                <w:rFonts w:ascii="맑은 고딕" w:hAnsi="맑은 고딕" w:eastAsia="맑은 고딕"/>
                <w:b/>
                <w:i w:val="0"/>
              </w:rPr>
              <w:t>[본문] 공유 결합 (p.67, 그림 Ⅱ-22)</w:t>
            </w:r>
          </w:p>
          <w:p>
            <w:pPr>
              <w:ind w:left="170" w:hanging="170"/>
            </w:pPr>
            <w:r>
              <w:rPr>
                <w:rFonts w:ascii="맑은 고딕" w:hAnsi="맑은 고딕" w:eastAsia="맑은 고딕"/>
                <w:b w:val="0"/>
                <w:i w:val="0"/>
              </w:rPr>
              <w:t>1) 물 분자가 생성될 때 수소 원자는 산소 원자와 서로 전자 1 개씩을 내놓아 전자쌍을 이룬다. 다른 수소 원자도 동일하게 산소 원자와 전자쌍을 이룬다.</w:t>
            </w:r>
          </w:p>
          <w:p>
            <w:pPr>
              <w:ind w:left="170" w:hanging="170"/>
            </w:pPr>
            <w:r>
              <w:rPr>
                <w:rFonts w:ascii="맑은 고딕" w:hAnsi="맑은 고딕" w:eastAsia="맑은 고딕"/>
                <w:b w:val="0"/>
                <w:i w:val="0"/>
              </w:rPr>
              <w:t>2) 산소 원자와 2 개의 수소 원자는 각각 전자쌍을 공유하면서 결합이 형성된다 → 2 개 이상의 원자가 전자쌍을 공유하여 형성되는 화학 결합 = 공유 결합(주로 비금속 원소들 사이). 그림 Ⅱ-22: 수소 원자와 산소 원자는 각각 18족 원소인 헬륨, 네온과 같은 전자 배치를 이룬다.</w:t>
            </w:r>
          </w:p>
          <w:p>
            <w:r>
              <w:rPr>
                <w:rFonts w:ascii="맑은 고딕" w:hAnsi="맑은 고딕" w:eastAsia="맑은 고딕"/>
                <w:b w:val="0"/>
                <w:i w:val="0"/>
              </w:rPr>
              <w:t>확인하기. 양이온과 음이온 사이의 정전기적 인력으로 형성되는 화학 결합은 무엇인지 쓰시오. — A. 이온 결합</w:t>
            </w:r>
          </w:p>
          <w:p>
            <w:r>
              <w:rPr>
                <w:rFonts w:ascii="맑은 고딕" w:hAnsi="맑은 고딕" w:eastAsia="맑은 고딕"/>
                <w:b/>
                <w:i w:val="0"/>
              </w:rPr>
              <w:t>[과학 역량 기르기] 화학 결합을 소재로 시화 만들기 (p.67)</w:t>
            </w:r>
          </w:p>
          <w:p>
            <w:pPr>
              <w:ind w:left="170" w:hanging="170"/>
            </w:pPr>
            <w:r>
              <w:rPr>
                <w:rFonts w:ascii="맑은 고딕" w:hAnsi="맑은 고딕" w:eastAsia="맑은 고딕"/>
                <w:b w:val="0"/>
                <w:i w:val="0"/>
              </w:rPr>
              <w:t>1) 화학 결합을 소재로 하여 다양한 작품을 만들 수 있다. 이온 결합이나 공유 결합을 소재로 하여 시화를 만들어 보자.</w:t>
            </w:r>
          </w:p>
          <w:p>
            <w:pPr>
              <w:ind w:left="170" w:hanging="170"/>
            </w:pPr>
            <w:r>
              <w:rPr>
                <w:rFonts w:ascii="맑은 고딕" w:hAnsi="맑은 고딕" w:eastAsia="맑은 고딕"/>
                <w:b w:val="0"/>
                <w:i w:val="0"/>
              </w:rPr>
              <w:t>A. (예시 작품 ‘화학 결합’) 나와 너는 금속과 비금속. 전자를 주고받으면 안정해지지. / 나와 너는 모두 비금속. 전자쌍을 공유하면 안정해지지. / 우리는 모두 결합을 했지. 그리고 안정해졌지. (지도 길잡이: 이온 결합과 공유 결합의 특징을 한 번 더 설명, 전자의 출입이나 전자를 공유하는 상황을 일상생활과 연관지어 표현)</w:t>
            </w:r>
          </w:p>
        </w:tc>
        <w:tc>
          <w:tcPr>
            <w:tcW w:type="dxa" w:w="7200"/>
            <w:tcMar>
              <w:top w:w="22" w:type="dxa"/>
              <w:bottom w:w="22" w:type="dxa"/>
            </w:tcMar>
          </w:tcPr>
          <w:p>
            <w:r>
              <w:rPr>
                <w:rFonts w:ascii="맑은 고딕" w:hAnsi="맑은 고딕" w:eastAsia="맑은 고딕"/>
                <w:b/>
                <w:i w:val="0"/>
              </w:rPr>
              <w:t>[해 보기] 18족 원소와 같이 안정해지는 방법 추론하기 (p.67)</w:t>
            </w:r>
          </w:p>
          <w:p>
            <w:pPr>
              <w:ind w:left="170" w:hanging="170"/>
            </w:pPr>
            <w:r>
              <w:rPr>
                <w:rFonts w:ascii="맑은 고딕" w:hAnsi="맑은 고딕" w:eastAsia="맑은 고딕"/>
                <w:b w:val="0"/>
                <w:i w:val="0"/>
              </w:rPr>
              <w:t>1) 산소(8+), 나트륨(11+), 염소(17+) 원자의 전자 배치 그림을 살펴본다. 산소 칸에는 예시로 ‘• 전자 2 개를 얻는다. • 전자 6 개를 잃는다.’가 적혀 있다.</w:t>
            </w:r>
          </w:p>
          <w:p>
            <w:r>
              <w:rPr>
                <w:rFonts w:ascii="맑은 고딕" w:hAnsi="맑은 고딕" w:eastAsia="맑은 고딕"/>
                <w:b w:val="0"/>
                <w:i w:val="0"/>
              </w:rPr>
              <w:t>정리 1. 산소를 참고해 나트륨과 염소 원자가 18족 원소와 같은 전자 배치를 하는 방법을 각각 설명해 보자.</w:t>
            </w:r>
          </w:p>
          <w:p>
            <w:pPr>
              <w:ind w:left="170" w:hanging="170"/>
            </w:pPr>
            <w:r>
              <w:rPr>
                <w:rFonts w:ascii="맑은 고딕" w:hAnsi="맑은 고딕" w:eastAsia="맑은 고딕"/>
                <w:b w:val="0"/>
                <w:i w:val="0"/>
              </w:rPr>
              <w:t>→ 본문(p.69): 나트륨은 원자가 전자 수가 1이므로 전자 1 개를 잃어 나트륨 이온이 되고 18족 원소인 네온과 같은 전자 배치를 하여 안정해진다. 염소는 원자가 전자 수가 7이므로 전자 1 개를 얻어 염화 이온이 되고 18족 원소인 아르곤과 같은 전자 배치를 하여 안정해진다. ?? 미래엔: 학생용이라 예시 답안 없음 — 산소 예시처럼 ‘나트륨 전자 7 개를 얻는다’, ‘염소 전자 7 개를 잃는다’도 쓸 수 있게 열려 있음</w:t>
            </w:r>
          </w:p>
          <w:p>
            <w:r>
              <w:rPr>
                <w:rFonts w:ascii="맑은 고딕" w:hAnsi="맑은 고딕" w:eastAsia="맑은 고딕"/>
                <w:b w:val="0"/>
                <w:i w:val="0"/>
              </w:rPr>
              <w:t>정리 2. 산소, 나트륨, 염소와 같이 18족이 아닌 원소들은 자연계에서 대부분 결합을 형성한 상태로 존재한다. 그 까닭을 설명해 보자.</w:t>
            </w:r>
          </w:p>
          <w:p>
            <w:pPr>
              <w:ind w:left="170" w:hanging="170"/>
            </w:pPr>
            <w:r>
              <w:rPr>
                <w:rFonts w:ascii="맑은 고딕" w:hAnsi="맑은 고딕" w:eastAsia="맑은 고딕"/>
                <w:b w:val="0"/>
                <w:i w:val="0"/>
              </w:rPr>
              <w:t>→ 본문(p.67): 지구와 생명체를 구성하는 산소, 규소, 탄소, 수소 등의 원소들은 18족 원소와 같은 전자 배치를 하여 안정해지기 위해 원자들이 전자를 잃거나 얻기도 하고, 원자들 사이에 전자를 공유하기도 하면서 결합을 형성한다.</w:t>
            </w:r>
          </w:p>
          <w:p>
            <w:r>
              <w:rPr>
                <w:rFonts w:ascii="맑은 고딕" w:hAnsi="맑은 고딕" w:eastAsia="맑은 고딕"/>
                <w:b w:val="0"/>
                <w:i w:val="0"/>
              </w:rPr>
              <w:t>스스로 확인하기(p.67): ① 18족 원소들은 원자의 전자 배치에서 가장 바깥 전자 껍질에 2 개 또는 8 개의 전자가 채워져 있다. (○, ×) → 본문: ○(p.66) / ② 지구와 생명체를 구성하는 원소들은 (   )족 원소와 같은 전자 배치를 하여 안정해지기 위해 결합을 형성한다. → 본문: 18족(p.67)</w:t>
            </w:r>
          </w:p>
          <w:p>
            <w:r>
              <w:rPr>
                <w:rFonts w:ascii="맑은 고딕" w:hAnsi="맑은 고딕" w:eastAsia="맑은 고딕"/>
                <w:b/>
                <w:i w:val="0"/>
              </w:rPr>
              <w:t>[본문] 이온 결합 (p.68~69, 그림 Ⅱ-19·20·21)</w:t>
            </w:r>
          </w:p>
          <w:p>
            <w:pPr>
              <w:ind w:left="170" w:hanging="170"/>
            </w:pPr>
            <w:r>
              <w:rPr>
                <w:rFonts w:ascii="맑은 고딕" w:hAnsi="맑은 고딕" w:eastAsia="맑은 고딕"/>
                <w:b w:val="0"/>
                <w:i w:val="0"/>
              </w:rPr>
              <w:t>1) 소금의 주성분 염화 나트륨(NaCl)은 금속 원소 나트륨(Na)과 비금속 원소 염소(Cl)로 구성된다. 일반적으로 금속 원소는 전자를 잃어 양이온이 되기 쉽고, 비금속 원소는 전자를 얻어 음이온이 되기 쉽다(그림 Ⅱ-19 전자 잃음/전자 얻음).</w:t>
            </w:r>
          </w:p>
          <w:p>
            <w:pPr>
              <w:ind w:left="170" w:hanging="170"/>
            </w:pPr>
            <w:r>
              <w:rPr>
                <w:rFonts w:ascii="맑은 고딕" w:hAnsi="맑은 고딕" w:eastAsia="맑은 고딕"/>
                <w:b w:val="0"/>
                <w:i w:val="0"/>
              </w:rPr>
              <w:t>2) 양이온과 음이온 사이에 정전기적 인력이 작용해 형성되는 결합 = 이온 결합(그림 Ⅱ-20). 나트륨 이온과 염화 이온은 1 : 1의 개수비로 결합해 전기적으로 중성이 되고 규칙적인 배열의 입체 구조를 만든다(그림 Ⅱ-21).</w:t>
            </w:r>
          </w:p>
          <w:p>
            <w:r>
              <w:rPr>
                <w:rFonts w:ascii="맑은 고딕" w:hAnsi="맑은 고딕" w:eastAsia="맑은 고딕"/>
                <w:b w:val="0"/>
                <w:i w:val="0"/>
              </w:rPr>
              <w:t>사고력(p.69). 칼슘(Ca)과 염소(Cl)가 결합해 염화 칼슘(CaCl₂)을 이루는 과정을 설명해 보자. → 본문: 직접 근거 없음 ?? 미래엔: 학생용이라 예시 답안 없음(칼슘 원자가 전자 2 개 → 염소 원자 2 개가 1 개씩 얻어 1 : 2로 중성 — 본문 Na·Cl 서술의 적용)</w:t>
            </w:r>
          </w:p>
          <w:p>
            <w:r>
              <w:rPr>
                <w:rFonts w:ascii="맑은 고딕" w:hAnsi="맑은 고딕" w:eastAsia="맑은 고딕"/>
                <w:b w:val="0"/>
                <w:i w:val="0"/>
              </w:rPr>
              <w:t>스스로 확인하기(p.69): ① 나트륨은 원자가 전자 수가 1이므로 전자 1 개를 얻어 나트륨 이온이 된다. (○, ×) → 본문: ×, 전자 1 개를 잃어(p.69) / ② 금속 원소의 양이온과 비금속 원소의 음이온 사이에 (   ) 결합이 형성된다. → 본문: 이온(p.69)</w:t>
            </w:r>
          </w:p>
          <w:p>
            <w:r>
              <w:rPr>
                <w:rFonts w:ascii="맑은 고딕" w:hAnsi="맑은 고딕" w:eastAsia="맑은 고딕"/>
                <w:b/>
                <w:i w:val="0"/>
              </w:rPr>
              <w:t>[본문] 공유 결합 (p.70, 그림 Ⅱ-22·23)</w:t>
            </w:r>
          </w:p>
          <w:p>
            <w:pPr>
              <w:ind w:left="170" w:hanging="170"/>
            </w:pPr>
            <w:r>
              <w:rPr>
                <w:rFonts w:ascii="맑은 고딕" w:hAnsi="맑은 고딕" w:eastAsia="맑은 고딕"/>
                <w:b w:val="0"/>
                <w:i w:val="0"/>
              </w:rPr>
              <w:t>1) 물 분자(H₂O)는 비금속 원소인 수소와 산소로 구성. 비금속 원소는 전자를 얻으려는 경향이 있어 전자쌍을 공유하면서 안정해진다 → 비금속 원소의 원자들이 전자쌍을 공유하며 형성하는 결합 = 공유 결합.</w:t>
            </w:r>
          </w:p>
          <w:p>
            <w:pPr>
              <w:ind w:left="170" w:hanging="170"/>
            </w:pPr>
            <w:r>
              <w:rPr>
                <w:rFonts w:ascii="맑은 고딕" w:hAnsi="맑은 고딕" w:eastAsia="맑은 고딕"/>
                <w:b w:val="0"/>
                <w:i w:val="0"/>
              </w:rPr>
              <w:t>2) 수소는 원자가 전자 수가 1이므로 산소 원자와 1 개의 전자쌍을 공유하면서 헬륨과 같은 전자 배치, 산소는 원자가 전자 수가 6이므로 2 개의 수소 원자와 각각 1 개씩 총 2 개의 전자쌍을 공유하면서 네온과 같은 전자 배치를 하여 안정해진다(그림 Ⅱ-22). 산소 분자(O₂)는 2 개의 산소 원자가 서로 2 개의 전자쌍을 공유(그림 Ⅱ-23).</w:t>
            </w:r>
          </w:p>
          <w:p>
            <w:r>
              <w:rPr>
                <w:rFonts w:ascii="맑은 고딕" w:hAnsi="맑은 고딕" w:eastAsia="맑은 고딕"/>
                <w:b/>
                <w:i w:val="0"/>
              </w:rPr>
              <w:t>[해 보기] 공유 결합을 모형으로 나타내기 (p.71)</w:t>
            </w:r>
          </w:p>
          <w:p>
            <w:pPr>
              <w:ind w:left="170" w:hanging="170"/>
            </w:pPr>
            <w:r>
              <w:rPr>
                <w:rFonts w:ascii="맑은 고딕" w:hAnsi="맑은 고딕" w:eastAsia="맑은 고딕"/>
                <w:b w:val="0"/>
                <w:i w:val="0"/>
              </w:rPr>
              <w:t>1) 수소, 탄소, 질소, 플루오린의 전자 배치를 나타낸 원자 모형(64 쪽에서 만든 것)으로 위 원자들의 공유 결합으로 이루어진 물질 1 가지를 쓰고, 공유 결합을 모형으로 나타낸다. (예시: 플루오린화 수소(HF))</w:t>
            </w:r>
          </w:p>
          <w:p>
            <w:pPr>
              <w:ind w:left="170" w:hanging="170"/>
            </w:pPr>
            <w:r>
              <w:rPr>
                <w:rFonts w:ascii="맑은 고딕" w:hAnsi="맑은 고딕" w:eastAsia="맑은 고딕"/>
                <w:b w:val="0"/>
                <w:i w:val="0"/>
              </w:rPr>
              <w:t>2) [디지털] 과정 1에서 나타낸 공유 결합을 스마트 기기로 촬영해 공유 플랫폼에 올린다.</w:t>
            </w:r>
          </w:p>
          <w:p>
            <w:pPr>
              <w:ind w:left="170" w:hanging="170"/>
            </w:pPr>
            <w:r>
              <w:rPr>
                <w:rFonts w:ascii="맑은 고딕" w:hAnsi="맑은 고딕" w:eastAsia="맑은 고딕"/>
                <w:b w:val="0"/>
                <w:i w:val="0"/>
              </w:rPr>
              <w:t>3) 친구들이 나타낸 공유 결합에서 원자들이 전자쌍을 공유하며 결합하는 것을 확인한다.</w:t>
            </w:r>
          </w:p>
          <w:p>
            <w:pPr>
              <w:ind w:left="170" w:hanging="170"/>
            </w:pPr>
            <w:r>
              <w:rPr>
                <w:rFonts w:ascii="맑은 고딕" w:hAnsi="맑은 고딕" w:eastAsia="맑은 고딕"/>
                <w:b w:val="0"/>
                <w:i w:val="0"/>
              </w:rPr>
              <w:t>→ 본문(p.70): 비금속 원소의 원자들이 전자쌍을 공유하며 형성하는 결합을 공유 결합이라고 한다. ?? 미래엔: 학생용이라 예시 답안 없음(HF 외 H₂, CH₄, NH₃, N₂, F₂ 등 가능 — 정리 질문 없음)</w:t>
            </w:r>
          </w:p>
          <w:p>
            <w:r>
              <w:rPr>
                <w:rFonts w:ascii="맑은 고딕" w:hAnsi="맑은 고딕" w:eastAsia="맑은 고딕"/>
                <w:b w:val="0"/>
                <w:i w:val="0"/>
              </w:rPr>
              <w:t>스스로 확인하기(p.71): ① 비금속 원소의 원자들이 전자쌍을 공유하며 (이온 결합, 공유 결합)을 형성한다. → 본문: 공유 결합(p.70) / ② 2 개의 산소 원자가 서로 2 개의 전자쌍을 공유하며 결합을 형성한다. (○, ×) → 본문: ○(p.70)</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관찰(전자 배치 모형의 전자 수·껍질 수) · 비교(18족 원소와 전자 수 차이: 헬륨·네온·아르곤 기준) · 분류(전자를 얻는 원소/잃는 원소) · 추리(전자의 출입으로 18족 전자 배치를 이룸) · 의사소통(이야기해 보자, 시화 발표)</w:t>
            </w:r>
          </w:p>
          <w:p>
            <w:r>
              <w:rPr>
                <w:rFonts w:ascii="맑은 고딕" w:hAnsi="맑은 고딕" w:eastAsia="맑은 고딕"/>
                <w:b w:val="0"/>
                <w:i w:val="0"/>
              </w:rPr>
              <w:t>통합: 자료 해석(모형에서 전자 수 차이 읽기) · 모형 사용(전자 껍질 모형, 그림 Ⅱ-21·22) · 결론 도출(결합하면 18족과 같은 전자 배치를 이루어 안정해짐) / 변인 통제: 실험이 아니므로 조작·종속 변인 없음 — 비교 기준만 있음(원소 종류 → 18족과의 전자 수 차이 → 전자 출입 방향), 학생이 정할 변인 없음</w:t>
            </w:r>
          </w:p>
          <w:p>
            <w:r>
              <w:rPr>
                <w:rFonts w:ascii="맑은 고딕" w:hAnsi="맑은 고딕" w:eastAsia="맑은 고딕"/>
                <w:b w:val="0"/>
                <w:i w:val="0"/>
              </w:rPr>
              <w:t>교과서 표기: 해 보기에 탐구 기능 표기 없음(활동지 아이콘만) / 단원 학습 목표 동사 ‘해석할 수 있다’ / 과학 역량 기르기(시화) — 역량 이름 표기 없음, 지도 길잡이 ‘일상생활과 연관지어 표현’</w:t>
            </w:r>
          </w:p>
        </w:tc>
        <w:tc>
          <w:tcPr>
            <w:tcW w:type="dxa" w:w="7200"/>
            <w:tcMar>
              <w:top w:w="22" w:type="dxa"/>
              <w:bottom w:w="22" w:type="dxa"/>
            </w:tcMar>
          </w:tcPr>
          <w:p>
            <w:r>
              <w:rPr>
                <w:rFonts w:ascii="맑은 고딕" w:hAnsi="맑은 고딕" w:eastAsia="맑은 고딕"/>
                <w:b w:val="0"/>
                <w:i w:val="0"/>
              </w:rPr>
              <w:t>기초: 관찰(산소·나트륨·염소 전자 배치) · 비교(18족과 가장 바깥 껍질 전자 수) · 추리(산소 예시 ‘얻는다/잃는다’를 참고해 나트륨·염소 방법 추론) · 의사소통(공유 플랫폼에 HF 등 모형 사진 공유, 친구 모형 확인)</w:t>
            </w:r>
          </w:p>
          <w:p>
            <w:r>
              <w:rPr>
                <w:rFonts w:ascii="맑은 고딕" w:hAnsi="맑은 고딕" w:eastAsia="맑은 고딕"/>
                <w:b w:val="0"/>
                <w:i w:val="0"/>
              </w:rPr>
              <w:t>통합: 자료 해석(전자 배치에서 원자가 전자 수 읽기) · 모형 사용(64 쪽에서 만든 투명 전자 껍질 원자 모형을 겹쳐 공유 결합 표현) · 일반화(18족이 아닌 원소가 대부분 결합 상태로 존재하는 까닭, Na·Cl → Ca·Cl 사고력 적용) / 변인 통제: 실험이 아니므로 조작·종속 변인 없음 — p.71은 학생이 원자 조합(H·C·N·F)을 스스로 선택(교과서 예시는 HF)</w:t>
            </w:r>
          </w:p>
          <w:p>
            <w:r>
              <w:rPr>
                <w:rFonts w:ascii="맑은 고딕" w:hAnsi="맑은 고딕" w:eastAsia="맑은 고딕"/>
                <w:b w:val="0"/>
                <w:i w:val="0"/>
              </w:rPr>
              <w:t>교과서 표기: 해 보기 2개 모두 ‘탐구 능력 · 문제 해결 능력’ / p.67 제목 동사 ‘추론하기’, p.71 ‘모형으로 나타내기’ + 디지털(스마트 기기 촬영·공유 플랫폼) / 사고력(p.69), 창의성 펼치기(p.67 낱말 퍼즐)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해 보기에서 산소는 ‘전자 2 개를 얻는’ 대신 ‘전자 6 개를 잃어’ 헬륨과 같은 전자 배치를 만들 수는 없을까? 어느 쪽이 실제로 일어나기 쉬운지 에너지로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본문은 ‘18족 이외의 원소들은 18족 원소처럼 안정해지려고 한다’고 쓴다. 원자가 ‘안정해지려고’ 한다는 말은 원자에게 의도가 있다는 뜻일까? 과학적으로 바꾸어 말해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오개념 지도 박스처럼 산소 원자(O)와 산화 이온(O²⁻) 하나만 놓고 비교하면 원자가 더 안정하다. 그런데도 산소가 이온 결합을 하는 까닭은 무엇일까? (결합 전체의 에너지 변화)</w:t>
            </w:r>
          </w:p>
          <w:p>
            <w:pPr>
              <w:ind w:left="170" w:hanging="170"/>
            </w:pPr>
            <w:r>
              <w:rPr>
                <w:rFonts w:ascii="맑은 고딕" w:hAnsi="맑은 고딕" w:eastAsia="맑은 고딕"/>
                <w:b/>
                <w:i w:val="0"/>
              </w:rPr>
              <w:t xml:space="preserve">Q. </w:t>
            </w:r>
            <w:r>
              <w:rPr>
                <w:rFonts w:ascii="맑은 고딕" w:hAnsi="맑은 고딕" w:eastAsia="맑은 고딕"/>
                <w:b w:val="0"/>
                <w:i w:val="0"/>
              </w:rPr>
              <w:t>나트륨 원자가 전자 1 개를 잃은 뒤 그 전자는 어디로 갔는가? 이온 결합에서 전자를 ‘잃는 원자’와 ‘얻는 원자’가 꼭 함께 있어야 하는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옥텟 규칙만 맞추면 NaCl₂나 H₃O 같은 화학식도 정답일까? 원자가 전자 수와 18족 전자 배치로 왜 아닌지 따져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화성 생존 키트(p.68)로 넘어가기 전, 산소·물·소금이 이온 결합 물질인지 공유 결합 물질인지 어떤 기준(구성 원소가 금속인지 비금속인지)으로 구별할 수 있을까? 그 구별을 실험으로 확인하려면 무엇을 측정해야 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해 보기 1의 산소 예시에는 ‘전자 2 개를 얻는다’와 ‘전자 6 개를 잃는다’가 함께 적혀 있다. 두 방법이 똑같이 가능할까? 나트륨이 ‘전자 7 개를 얻는다’고 쓴 답도 맞다고 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본문은 ‘비금속 원소는 전자를 얻으려는 경향이 있어’, ‘안정해지기 위해’라고 쓴다. 원자가 무엇을 ‘원한다’는 표현 대신 에너지가 낮아지는 과정으로 다시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헬륨은 가장 바깥 껍질에 전자가 2 개뿐인데도 안정하다. ‘8 개가 되어야 안정하다’는 말은 언제나 맞을까? 수소가 결합하면 몇 개의 전자를 갖게 되는가?</w:t>
            </w:r>
          </w:p>
          <w:p>
            <w:pPr>
              <w:ind w:left="170" w:hanging="170"/>
            </w:pPr>
            <w:r>
              <w:rPr>
                <w:rFonts w:ascii="맑은 고딕" w:hAnsi="맑은 고딕" w:eastAsia="맑은 고딕"/>
                <w:b/>
                <w:i w:val="0"/>
              </w:rPr>
              <w:t xml:space="preserve">Q. </w:t>
            </w:r>
            <w:r>
              <w:rPr>
                <w:rFonts w:ascii="맑은 고딕" w:hAnsi="맑은 고딕" w:eastAsia="맑은 고딕"/>
                <w:b w:val="0"/>
                <w:i w:val="0"/>
              </w:rPr>
              <w:t>사고력: 칼슘과 염소가 결합하면 왜 CaCl이 아니라 CaCl₂가 될까? 전기적 중성과 전자의 주고받기로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p.71에서 H·C·N·F 원자 모형으로 아무 조합이나 만들고 각 원자 주위 전자를 8 개(수소는 2 개)로 맞추기만 하면 실제로 존재하는 물질이라고 할 수 있을까? 친구의 모형이 옳은지 무엇으로 확인할까?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 Ⅱ-21처럼 염화 나트륨이 규칙적인 입체 구조를 이룬다면 ‘NaCl 분자’ 1 개가 따로 있다고 할 수 있을까? 물 분자(그림 Ⅱ-22)와 무엇이 다른가?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실험이 없는 모형·활동지 활동이라 안전 사항 없음 — 02-04 전기 전도성 실험(p.68 이후)으로 넘어가기 전 이온 결합·공유 결합 구별 기준을 먼저 정리</w:t>
            </w:r>
          </w:p>
          <w:p>
            <w:pPr>
              <w:ind w:left="170" w:hanging="170"/>
            </w:pPr>
            <w:r>
              <w:rPr>
                <w:rFonts w:ascii="맑은 고딕" w:hAnsi="맑은 고딕" w:eastAsia="맑은 고딕"/>
                <w:b w:val="0"/>
                <w:i w:val="0"/>
              </w:rPr>
              <w:t>• 오개념 지도(p.66, 교사용): 산소 원자(O)와 산화 이온(O²⁻)의 에너지를 비교하면 산소 원자가 산화 이온보다 안정하다. 원자가 전자를 얻거나 잃어 이온이 될 때 에너지가 높아지기 때문이다. 하지만 산화 이온이 칼슘 이온(Ca²⁺)과 같은 양이온과 화학 결합을 형성하면 매우 안정한 상태가 되기 때문에 산화 이온이 산소 원자보다 안정하다고 생각하는 것이다 → ‘이온이 되면 안정’이 아니라 ‘결합을 형성한 전체가 안정’임을 지도</w:t>
            </w:r>
          </w:p>
          <w:p>
            <w:pPr>
              <w:ind w:left="170" w:hanging="170"/>
            </w:pPr>
            <w:r>
              <w:rPr>
                <w:rFonts w:ascii="맑은 고딕" w:hAnsi="맑은 고딕" w:eastAsia="맑은 고딕"/>
                <w:b w:val="0"/>
                <w:i w:val="0"/>
              </w:rPr>
              <w:t>• 보충(p.66, 교사용) 옥텟 규칙은 주로 2, 3주기 전형 원소 사이의 화학 결합에 잘 적용되는 경험 규칙임을 짚기 — 수소·헬륨은 전자 2 개(듀엣), 학생 본문에는 ‘옥텟’ 용어 없음</w:t>
            </w:r>
          </w:p>
          <w:p>
            <w:pPr>
              <w:ind w:left="170" w:hanging="170"/>
            </w:pPr>
            <w:r>
              <w:rPr>
                <w:rFonts w:ascii="맑은 고딕" w:hAnsi="맑은 고딕" w:eastAsia="맑은 고딕"/>
                <w:b w:val="0"/>
                <w:i w:val="0"/>
              </w:rPr>
              <w:t>• 본문 ‘18족 원소처럼 안정해지려고 한다’(p.66)는 의인화 표현 → 원자에 의도가 있다는 목적론으로 흐르지 않도록 ‘전자 배치가 18족과 같아질 때 에너지가 가장 낮아져 더 이상 변화가 일어나지 않는다’로 바꿔 말하기</w:t>
            </w:r>
          </w:p>
          <w:p>
            <w:pPr>
              <w:ind w:left="170" w:hanging="170"/>
            </w:pPr>
            <w:r>
              <w:rPr>
                <w:rFonts w:ascii="맑은 고딕" w:hAnsi="맑은 고딕" w:eastAsia="맑은 고딕"/>
                <w:b w:val="0"/>
                <w:i w:val="0"/>
              </w:rPr>
              <w:t>• 이온 결합에서 전자는 사라지지 않고 나트륨에서 염소로 ‘이동’함(그림 Ⅱ-21 ‘전자가 이동한다.’)을 강조 / 시화 활동(과학 역량 기르기)은 ‘주고받으면 안정해지지’처럼 의인화가 강화될 수 있으므로 발표 후 과학적 표현으로 다시 정리</w:t>
            </w:r>
          </w:p>
          <w:p>
            <w:pPr>
              <w:ind w:left="170" w:hanging="170"/>
            </w:pPr>
            <w:r>
              <w:rPr>
                <w:rFonts w:ascii="맑은 고딕" w:hAnsi="맑은 고딕" w:eastAsia="맑은 고딕"/>
                <w:b w:val="0"/>
                <w:i w:val="0"/>
              </w:rPr>
              <w:t>☐ 수소·산소·나트륨·염소의 전자 수를 가장 가까운 18족(헬륨·네온·아르곤)과 비교  ☐ 전자 출입(얻음/잃음)과 이온 전하 연결  ☐ 이온 결합 정의(정전기적 인력)·공유 결합 정의(전자쌍 공유) 확인  ☐ 의인화 표현을 에너지 표현으로 바꾸어 말하기  ☐ 금속+비금속 / 비금속+비금속으로 결합 종류 예상</w:t>
            </w:r>
          </w:p>
        </w:tc>
        <w:tc>
          <w:tcPr>
            <w:tcW w:type="dxa" w:w="7200"/>
            <w:tcMar>
              <w:top w:w="22" w:type="dxa"/>
              <w:bottom w:w="22" w:type="dxa"/>
            </w:tcMar>
          </w:tcPr>
          <w:p>
            <w:pPr>
              <w:ind w:left="170" w:hanging="170"/>
            </w:pPr>
            <w:r>
              <w:rPr>
                <w:rFonts w:ascii="맑은 고딕" w:hAnsi="맑은 고딕" w:eastAsia="맑은 고딕"/>
                <w:b w:val="0"/>
                <w:i w:val="0"/>
              </w:rPr>
              <w:t>• 실험이 없는 모형 활동이라 안전 사항 없음 / p.71 해 보기는 64 쪽 해 보기에서 만든 투명 전자 껍질 원자 모형을 미리 준비해야 함(도움말: 원자 모형이 부족하면 친구들과 모아 나타냄)</w:t>
            </w:r>
          </w:p>
          <w:p>
            <w:pPr>
              <w:ind w:left="170" w:hanging="170"/>
            </w:pPr>
            <w:r>
              <w:rPr>
                <w:rFonts w:ascii="맑은 고딕" w:hAnsi="맑은 고딕" w:eastAsia="맑은 고딕"/>
                <w:b w:val="0"/>
                <w:i w:val="0"/>
              </w:rPr>
              <w:t>• p.67 해 보기 산소 예시 ‘전자 6 개를 잃는다’를 그대로 두면 나트륨 ‘전자 7 개를 얻는다’, 염소 ‘전자 7 개를 잃는다’도 같은 무게의 답이 됨 → 잃거나 얻는 전자 수가 적은 쪽(금속은 잃기 쉽고 비금속은 얻기 쉬움, p.68)이 실제로 일어남을 정리 1에서 반드시 짚기</w:t>
            </w:r>
          </w:p>
          <w:p>
            <w:pPr>
              <w:ind w:left="170" w:hanging="170"/>
            </w:pPr>
            <w:r>
              <w:rPr>
                <w:rFonts w:ascii="맑은 고딕" w:hAnsi="맑은 고딕" w:eastAsia="맑은 고딕"/>
                <w:b w:val="0"/>
                <w:i w:val="0"/>
              </w:rPr>
              <w:t>• 본문 ‘안정해지기 위해’(p.67), ‘전자를 얻으려는 경향이 있어’(p.70)는 목적론·의인화 표현 → 에너지가 낮아지는 방향의 결과로 다시 설명</w:t>
            </w:r>
          </w:p>
          <w:p>
            <w:pPr>
              <w:ind w:left="170" w:hanging="170"/>
            </w:pPr>
            <w:r>
              <w:rPr>
                <w:rFonts w:ascii="맑은 고딕" w:hAnsi="맑은 고딕" w:eastAsia="맑은 고딕"/>
                <w:b w:val="0"/>
                <w:i w:val="0"/>
              </w:rPr>
              <w:t>• p.71 모형 활동은 각 원자 껍질의 전자 수만 맞추면 정답처럼 보일 수 있음 → 공유 전자쌍 수(H 1, F 1, O 2, N 3, C 4)와 실제 존재하는 물질인지 함께 확인 / 다중 결합(N₂ 3중)은 학생 본문에 정의 없음(O₂ 2 개의 전자쌍만 제시)</w:t>
            </w:r>
          </w:p>
          <w:p>
            <w:pPr>
              <w:ind w:left="170" w:hanging="170"/>
            </w:pPr>
            <w:r>
              <w:rPr>
                <w:rFonts w:ascii="맑은 고딕" w:hAnsi="맑은 고딕" w:eastAsia="맑은 고딕"/>
                <w:b w:val="0"/>
                <w:i w:val="0"/>
              </w:rPr>
              <w:t>• 공유 플랫폼에 사진을 올릴 때 친구 모형을 평가하는 기준(각 원자가 18족과 같은 전자 배치인가, 전자쌍을 공유하는가)을 미리 알려 주기</w:t>
            </w:r>
          </w:p>
          <w:p>
            <w:pPr>
              <w:ind w:left="170" w:hanging="170"/>
            </w:pPr>
            <w:r>
              <w:rPr>
                <w:rFonts w:ascii="맑은 고딕" w:hAnsi="맑은 고딕" w:eastAsia="맑은 고딕"/>
                <w:b w:val="0"/>
                <w:i w:val="0"/>
              </w:rPr>
              <w:t>☐ 나트륨·염소의 원자가 전자 수 확인  ☐ 잃는/얻는 전자 수가 적은 쪽 선택 근거 쓰기  ☐ Na⁺·Cl⁻ 1 : 1 개수비와 전기적 중성 확인  ☐ 원자 모형으로 공유 결합 물질 1가지 표현·촬영·공유  ☐ 친구 모형의 공유 전자쌍 수와 실재 물질 여부 확인</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해설 ‘주요 원소들이 화학 결합을 형성하는 이유를 전자껍질 모형을 이용한 전자배치를 통해 안정성을 지닌 원소와 비교하여 설명’을 그대로 구현: 18족 원소의 전자 배치(그림 Ⅱ-20) → 수소·산소·나트륨·염소 전자 배치 모형을 헬륨·네온·아르곤과 전자 수로 비교(해 보기 정리 1) → 전자 출입 방법(정리 2) → 본문 결론 ‘18족 원소와 같은 전자 배치를 이루어 안정해진다’</w:t>
            </w:r>
          </w:p>
          <w:p>
            <w:r>
              <w:rPr>
                <w:rFonts w:ascii="맑은 고딕" w:hAnsi="맑은 고딕" w:eastAsia="맑은 고딕"/>
                <w:b w:val="0"/>
                <w:i w:val="0"/>
              </w:rPr>
              <w:t>✔ 해 보기 대상이 수소·산소(생명체)·나트륨·염소(소금)로 ‘지구와 생명체를 구성하는 주요 원소’와 다음 소단원 02-04(산소·물·소금)를 동시에 겨냥 / 이온 결합(그림 Ⅱ-21)·공유 결합(그림 Ⅱ-22)을 짧게 정의하고 바로 02-04(화성 생존 키트, 전기 전도성)로 넘김 → 해설의 범위(형성 이유)를 넘지 않음</w:t>
            </w:r>
          </w:p>
          <w:p>
            <w:r>
              <w:rPr>
                <w:rFonts w:ascii="맑은 고딕" w:hAnsi="맑은 고딕" w:eastAsia="맑은 고딕"/>
                <w:b w:val="0"/>
                <w:i w:val="0"/>
              </w:rPr>
              <w:t>✔ 교사용 오개념 지도(O vs O²⁻ 에너지)와 보충(옥텟 규칙 적용 범위: 2, 3주기 전형 원소)이 과잉 일반화를 막는 장치로 들어 있음</w:t>
            </w:r>
          </w:p>
          <w:p>
            <w:r>
              <w:rPr>
                <w:rFonts w:ascii="맑은 고딕" w:hAnsi="맑은 고딕" w:eastAsia="맑은 고딕"/>
                <w:b/>
                <w:i w:val="0"/>
              </w:rPr>
              <w:t>△ 그러나 학생 본문은 ‘18족 이외의 원소들은 18족 원소처럼 안정해지려고 한다’(p.66)로 의인화·목적론 문장을 그대로 씀 → ‘8은 목표가 아니라 에너지가 낮아지는 과정이 멈추는 지점’이라는 설명이 학생 지면에 없음, 오개념 지도 내용도 교사용에만 있음</w:t>
            </w:r>
          </w:p>
          <w:p>
            <w:r>
              <w:rPr>
                <w:rFonts w:ascii="맑은 고딕" w:hAnsi="맑은 고딕" w:eastAsia="맑은 고딕"/>
                <w:b/>
                <w:i w:val="0"/>
              </w:rPr>
              <w:t>△ 성취기준 동사 ‘해석할 수 있다’에 비해 해 보기는 전자 수 세기·출입 말하기 수준이고 탐구 기능 표기가 없음 / ‘왜 전자 6 개를 잃지 않고 2 개를 얻는가’를 묻는 문항이 없어 옥텟만 맞추면 정답이라는 생각을 막지 못함</w:t>
            </w:r>
          </w:p>
          <w:p>
            <w:r>
              <w:rPr>
                <w:rFonts w:ascii="맑은 고딕" w:hAnsi="맑은 고딕" w:eastAsia="맑은 고딕"/>
                <w:b/>
                <w:i w:val="0"/>
              </w:rPr>
              <w:t>△ 02-04로 이어지는 연결점: 본문은 ‘이온 결합은 주로 금속 원소와 비금속 원소 사이’, ‘공유 결합은 주로 비금속 원소들 사이’로 구별 기준을 주고, 화성 생존 키트(p.68 과정 3)에서 산소·질소·물은 공유, 소금은 이온 결합으로 구분하게 함 → 강의 자료의 ‘시료가 이온 결합 물질인지 공유 결합 물질인지 구별하라’는 정리 활동은 여기서 배운 구성 원소 기준 + 02-04 해설(전기 전도성 한정)의 증거로 판단하게 해야 정당성이 생김(구성 원소만 보고 단정하면 실험이 불필요)</w:t>
            </w:r>
          </w:p>
          <w:p>
            <w:r>
              <w:rPr>
                <w:rFonts w:ascii="맑은 고딕" w:hAnsi="맑은 고딕" w:eastAsia="맑은 고딕"/>
                <w:b w:val="0"/>
                <w:i w:val="0"/>
              </w:rPr>
              <w:t>※ 비교: 비상은 ‘결합 형성 까닭’과 이온·공유 결합 정의를 02-03 차시(p.66~67) 안에서 한 쪽 분량으로 끝내고 교사용으로 오개념·옥텟 규칙 범위를 보완 / 미래엔은 까닭(p.66~67)만 02-03 쪽에 두고 이온·공유 결합은 02-04 학습 목표를 단 소단원 4(p.68~71)에서 4개 그림·O₂·1 : 1 개수비·입체 구조·HF 모형 만들기로 훨씬 자세히 다룸. 두 교과서 모두 학생 본문에 의인화 표현(‘안정해지려고’, ‘안정해지기 위해’, ‘얻으려는 경향’)이 있음</w:t>
            </w:r>
          </w:p>
        </w:tc>
        <w:tc>
          <w:tcPr>
            <w:tcW w:type="dxa" w:w="7200"/>
            <w:tcMar>
              <w:top w:w="22" w:type="dxa"/>
              <w:bottom w:w="22" w:type="dxa"/>
            </w:tcMar>
          </w:tcPr>
          <w:p>
            <w:r>
              <w:rPr>
                <w:rFonts w:ascii="맑은 고딕" w:hAnsi="맑은 고딕" w:eastAsia="맑은 고딕"/>
                <w:b w:val="0"/>
                <w:i w:val="0"/>
              </w:rPr>
              <w:t>✔ 해 보기 제목 동사가 ‘추론하기’이고 산소 예시를 참고해 나트륨·염소의 방법을 스스로 추론하게 한 뒤, 정리 2에서 ‘18족이 아닌 원소들이 대부분 결합을 형성한 상태로 존재하는 까닭’을 묻는 구조 → 성취기준 ‘결합을 형성하는 이유를 해석’에 직접 대응, 해설의 ‘전자껍질 모형·안정성을 지닌 원소와 비교’ 반영(그림 Ⅱ-18 헬륨·네온·아르곤)</w:t>
            </w:r>
          </w:p>
          <w:p>
            <w:r>
              <w:rPr>
                <w:rFonts w:ascii="맑은 고딕" w:hAnsi="맑은 고딕" w:eastAsia="맑은 고딕"/>
                <w:b w:val="0"/>
                <w:i w:val="0"/>
              </w:rPr>
              <w:t>✔ 이온 결합 형성(전자 잃음·얻음, 그림 Ⅱ-19 → 정전기적 인력 그림 Ⅱ-20 → 1 : 1 입체 구조 그림 Ⅱ-21)과 공유 결합(H₂O, O₂ 공유 전자쌍 수)을 모두 ‘18족과 같은 전자 배치’로 설명하고 원자가 전자 수(1, 6, 7)를 근거로 씀 → 결합 이유의 해석을 이온·공유 결합 전체로 일관되게 확장</w:t>
            </w:r>
          </w:p>
          <w:p>
            <w:r>
              <w:rPr>
                <w:rFonts w:ascii="맑은 고딕" w:hAnsi="맑은 고딕" w:eastAsia="맑은 고딕"/>
                <w:b w:val="0"/>
                <w:i w:val="0"/>
              </w:rPr>
              <w:t>✔ p.71 해 보기에서 학생이 원자 조합을 직접 골라 공유 결합 물질을 모형으로 만들고 공유 플랫폼에서 서로 확인 → 모형 사용·디지털 소양, 학생 선택의 자율성</w:t>
            </w:r>
          </w:p>
          <w:p>
            <w:r>
              <w:rPr>
                <w:rFonts w:ascii="맑은 고딕" w:hAnsi="맑은 고딕" w:eastAsia="맑은 고딕"/>
                <w:b/>
                <w:i w:val="0"/>
              </w:rPr>
              <w:t>△ 산소 예시 ‘전자 6 개를 잃는다’를 정답처럼 제시하고 어느 쪽이 실제로 일어나는지 따지는 문항이 없음 → 강의 자료가 지적한 ‘옥텟 규칙만 맞추면 정답인가’ 문제를 오히려 키울 수 있음 / p.71 모형 만들기도 정리 질문이 없어 실재하지 않는 조합을 걸러 낼 기준이 없음</w:t>
            </w:r>
          </w:p>
          <w:p>
            <w:r>
              <w:rPr>
                <w:rFonts w:ascii="맑은 고딕" w:hAnsi="맑은 고딕" w:eastAsia="맑은 고딕"/>
                <w:b/>
                <w:i w:val="0"/>
              </w:rPr>
              <w:t>△ ‘안정해지기 위해’(p.67), ‘비금속 원소는 전자를 얻으려는 경향이 있어’(p.70) 등 목적론·의인화 표현, 에너지 관점의 설명이나 옥텟 규칙의 적용 범위(헬륨·수소는 2 개) 보충 없음 / 오개념 지도 자료가 없음(학생용)</w:t>
            </w:r>
          </w:p>
          <w:p>
            <w:r>
              <w:rPr>
                <w:rFonts w:ascii="맑은 고딕" w:hAnsi="맑은 고딕" w:eastAsia="맑은 고딕"/>
                <w:b/>
                <w:i w:val="0"/>
              </w:rPr>
              <w:t>△ 02-04로 이어지는 연결점: 이온·공유 결합 정의를 02-04 학습 목표(‘이온 결합과 공유 결합을 설명’) 아래에 두어 성취기준 경계가 비상과 다름. 소단원 4 도입(물에 젖은 손 감전)으로 전기 전도성 실험을 예고 → 02-04 해설 ‘전기 전도성 한정’과 맞물리게 이어 가야 하며, 이온 결합 물질의 입체 구조(그림 Ⅱ-21)는 고체·수용액 전기 전도성 차이를 설명할 연결 고리</w:t>
            </w:r>
          </w:p>
          <w:p>
            <w:r>
              <w:rPr>
                <w:rFonts w:ascii="맑은 고딕" w:hAnsi="맑은 고딕" w:eastAsia="맑은 고딕"/>
                <w:b w:val="0"/>
                <w:i w:val="0"/>
              </w:rPr>
              <w:t>※ 비교: 미래엔은 ‘추론하기’ 활동과 원자가 전자 수 근거, 그림 수(Ⅱ-18~23)·모형 만들기로 결합 형성 과정을 비상보다 자세하고 학생 중심으로 다루지만, 오개념 교정 장치(오개념 지도·옥텟 보충)는 비상 교사용에만 있음. 산소 ‘6 개를 잃는다’ 예시는 미래엔에만 있는 혼동 요소</w:t>
            </w:r>
          </w:p>
          <w:p>
            <w:r>
              <w:rPr>
                <w:rFonts w:ascii="맑은 고딕" w:hAnsi="맑은 고딕" w:eastAsia="맑은 고딕"/>
                <w:b/>
                <w:i w:val="0"/>
              </w:rPr>
              <w:t>△ 해 보기(p.67) 예시: 산소를 ‘전자 2개를 얻는다 / 전자 6개를 잃는다’로 나란히 제시 — 6개를 잃는 경로는 에너지상 일어나지 않으므로 ‘18족 배치만 맞으면 어느 쪽이든 정답’이라는 오해를 키움 → 잃는 데 드는 에너지 비교 발문으로 한쪽만 실제임을 확인시킬 것</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54211"/>
                        <wp:docPr id="40" name="Picture 40"/>
                        <wp:cNvGraphicFramePr>
                          <a:graphicFrameLocks noChangeAspect="1"/>
                        </wp:cNvGraphicFramePr>
                        <a:graphic>
                          <a:graphicData uri="http://schemas.openxmlformats.org/drawingml/2006/picture">
                            <pic:pic>
                              <pic:nvPicPr>
                                <pic:cNvPr id="0" name="T203_vb1.jpg"/>
                                <pic:cNvPicPr/>
                              </pic:nvPicPr>
                              <pic:blipFill>
                                <a:blip r:embed="rId48"/>
                                <a:stretch>
                                  <a:fillRect/>
                                </a:stretch>
                              </pic:blipFill>
                              <pic:spPr>
                                <a:xfrm>
                                  <a:off x="0" y="0"/>
                                  <a:ext cx="2106000" cy="554211"/>
                                </a:xfrm>
                                <a:prstGeom prst="rect"/>
                              </pic:spPr>
                            </pic:pic>
                          </a:graphicData>
                        </a:graphic>
                      </wp:inline>
                    </w:drawing>
                  </w:r>
                </w:p>
                <w:p>
                  <w:pPr>
                    <w:spacing w:after="60"/>
                    <w:jc w:val="center"/>
                  </w:pPr>
                  <w:r>
                    <w:rPr>
                      <w:rFonts w:ascii="맑은 고딕" w:hAnsi="맑은 고딕" w:eastAsia="맑은 고딕"/>
                      <w:b w:val="0"/>
                      <w:i w:val="0"/>
                    </w:rPr>
                    <w:t>p.66 본문 도입(18족 원소의 안정한 전자 배치)</w:t>
                  </w:r>
                </w:p>
              </w:tc>
              <w:tc>
                <w:tcPr>
                  <w:tcW w:type="dxa" w:w="3487"/>
                  <w:vAlign w:val="top"/>
                </w:tcPr>
                <w:p>
                  <w:pPr>
                    <w:spacing w:line="240" w:lineRule="auto"/>
                    <w:jc w:val="center"/>
                  </w:pPr>
                  <w:r>
                    <w:drawing>
                      <wp:inline xmlns:a="http://schemas.openxmlformats.org/drawingml/2006/main" xmlns:pic="http://schemas.openxmlformats.org/drawingml/2006/picture">
                        <wp:extent cx="2106000" cy="842400"/>
                        <wp:docPr id="41" name="Picture 41"/>
                        <wp:cNvGraphicFramePr>
                          <a:graphicFrameLocks noChangeAspect="1"/>
                        </wp:cNvGraphicFramePr>
                        <a:graphic>
                          <a:graphicData uri="http://schemas.openxmlformats.org/drawingml/2006/picture">
                            <pic:pic>
                              <pic:nvPicPr>
                                <pic:cNvPr id="0" name="T203_vb2.jpg"/>
                                <pic:cNvPicPr/>
                              </pic:nvPicPr>
                              <pic:blipFill>
                                <a:blip r:embed="rId49"/>
                                <a:stretch>
                                  <a:fillRect/>
                                </a:stretch>
                              </pic:blipFill>
                              <pic:spPr>
                                <a:xfrm>
                                  <a:off x="0" y="0"/>
                                  <a:ext cx="2106000" cy="842400"/>
                                </a:xfrm>
                                <a:prstGeom prst="rect"/>
                              </pic:spPr>
                            </pic:pic>
                          </a:graphicData>
                        </a:graphic>
                      </wp:inline>
                    </w:drawing>
                  </w:r>
                </w:p>
                <w:p>
                  <w:pPr>
                    <w:spacing w:after="60"/>
                    <w:jc w:val="center"/>
                  </w:pPr>
                  <w:r>
                    <w:rPr>
                      <w:rFonts w:ascii="맑은 고딕" w:hAnsi="맑은 고딕" w:eastAsia="맑은 고딕"/>
                      <w:b w:val="0"/>
                      <w:i w:val="0"/>
                    </w:rPr>
                    <w:t>p.66 그림 Ⅱ-20 18족 원소의 전자 배치와 이용</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11373"/>
                        <wp:docPr id="42" name="Picture 42"/>
                        <wp:cNvGraphicFramePr>
                          <a:graphicFrameLocks noChangeAspect="1"/>
                        </wp:cNvGraphicFramePr>
                        <a:graphic>
                          <a:graphicData uri="http://schemas.openxmlformats.org/drawingml/2006/picture">
                            <pic:pic>
                              <pic:nvPicPr>
                                <pic:cNvPr id="0" name="T203_vb3.jpg"/>
                                <pic:cNvPicPr/>
                              </pic:nvPicPr>
                              <pic:blipFill>
                                <a:blip r:embed="rId50"/>
                                <a:stretch>
                                  <a:fillRect/>
                                </a:stretch>
                              </pic:blipFill>
                              <pic:spPr>
                                <a:xfrm>
                                  <a:off x="0" y="0"/>
                                  <a:ext cx="2106000" cy="211373"/>
                                </a:xfrm>
                                <a:prstGeom prst="rect"/>
                              </pic:spPr>
                            </pic:pic>
                          </a:graphicData>
                        </a:graphic>
                      </wp:inline>
                    </w:drawing>
                  </w:r>
                </w:p>
                <w:p>
                  <w:pPr>
                    <w:spacing w:after="60"/>
                    <w:jc w:val="center"/>
                  </w:pPr>
                  <w:r>
                    <w:rPr>
                      <w:rFonts w:ascii="맑은 고딕" w:hAnsi="맑은 고딕" w:eastAsia="맑은 고딕"/>
                      <w:b w:val="0"/>
                      <w:i w:val="0"/>
                    </w:rPr>
                    <w:t>p.66 본문(18족 이외의 원소들은 18족 원소처럼 안정해지려고 한다)</w:t>
                  </w:r>
                </w:p>
              </w:tc>
              <w:tc>
                <w:tcPr>
                  <w:tcW w:type="dxa" w:w="3487"/>
                  <w:vAlign w:val="top"/>
                </w:tcPr>
                <w:p>
                  <w:pPr>
                    <w:spacing w:line="240" w:lineRule="auto"/>
                    <w:jc w:val="center"/>
                  </w:pPr>
                  <w:r>
                    <w:drawing>
                      <wp:inline xmlns:a="http://schemas.openxmlformats.org/drawingml/2006/main" xmlns:pic="http://schemas.openxmlformats.org/drawingml/2006/picture">
                        <wp:extent cx="2106000" cy="301594"/>
                        <wp:docPr id="43" name="Picture 43"/>
                        <wp:cNvGraphicFramePr>
                          <a:graphicFrameLocks noChangeAspect="1"/>
                        </wp:cNvGraphicFramePr>
                        <a:graphic>
                          <a:graphicData uri="http://schemas.openxmlformats.org/drawingml/2006/picture">
                            <pic:pic>
                              <pic:nvPicPr>
                                <pic:cNvPr id="0" name="T203_vb4.jpg"/>
                                <pic:cNvPicPr/>
                              </pic:nvPicPr>
                              <pic:blipFill>
                                <a:blip r:embed="rId51"/>
                                <a:stretch>
                                  <a:fillRect/>
                                </a:stretch>
                              </pic:blipFill>
                              <pic:spPr>
                                <a:xfrm>
                                  <a:off x="0" y="0"/>
                                  <a:ext cx="2106000" cy="301594"/>
                                </a:xfrm>
                                <a:prstGeom prst="rect"/>
                              </pic:spPr>
                            </pic:pic>
                          </a:graphicData>
                        </a:graphic>
                      </wp:inline>
                    </w:drawing>
                  </w:r>
                </w:p>
                <w:p>
                  <w:pPr>
                    <w:spacing w:after="60"/>
                    <w:jc w:val="center"/>
                  </w:pPr>
                  <w:r>
                    <w:rPr>
                      <w:rFonts w:ascii="맑은 고딕" w:hAnsi="맑은 고딕" w:eastAsia="맑은 고딕"/>
                      <w:b w:val="0"/>
                      <w:i w:val="0"/>
                    </w:rPr>
                    <w:t>p.66 본문 결론(18족 원소와 같은 전자 배치를 이루어 안정해진다)</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62620"/>
                        <wp:docPr id="44" name="Picture 44"/>
                        <wp:cNvGraphicFramePr>
                          <a:graphicFrameLocks noChangeAspect="1"/>
                        </wp:cNvGraphicFramePr>
                        <a:graphic>
                          <a:graphicData uri="http://schemas.openxmlformats.org/drawingml/2006/picture">
                            <pic:pic>
                              <pic:nvPicPr>
                                <pic:cNvPr id="0" name="T203_vb5.jpg"/>
                                <pic:cNvPicPr/>
                              </pic:nvPicPr>
                              <pic:blipFill>
                                <a:blip r:embed="rId52"/>
                                <a:stretch>
                                  <a:fillRect/>
                                </a:stretch>
                              </pic:blipFill>
                              <pic:spPr>
                                <a:xfrm>
                                  <a:off x="0" y="0"/>
                                  <a:ext cx="2106000" cy="662620"/>
                                </a:xfrm>
                                <a:prstGeom prst="rect"/>
                              </pic:spPr>
                            </pic:pic>
                          </a:graphicData>
                        </a:graphic>
                      </wp:inline>
                    </w:drawing>
                  </w:r>
                </w:p>
                <w:p>
                  <w:pPr>
                    <w:spacing w:after="60"/>
                    <w:jc w:val="center"/>
                  </w:pPr>
                  <w:r>
                    <w:rPr>
                      <w:rFonts w:ascii="맑은 고딕" w:hAnsi="맑은 고딕" w:eastAsia="맑은 고딕"/>
                      <w:b w:val="0"/>
                      <w:i w:val="0"/>
                    </w:rPr>
                    <w:t>p.67 본문 이온 결합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673920"/>
                        <wp:docPr id="45" name="Picture 45"/>
                        <wp:cNvGraphicFramePr>
                          <a:graphicFrameLocks noChangeAspect="1"/>
                        </wp:cNvGraphicFramePr>
                        <a:graphic>
                          <a:graphicData uri="http://schemas.openxmlformats.org/drawingml/2006/picture">
                            <pic:pic>
                              <pic:nvPicPr>
                                <pic:cNvPr id="0" name="T203_vb6.jpg"/>
                                <pic:cNvPicPr/>
                              </pic:nvPicPr>
                              <pic:blipFill>
                                <a:blip r:embed="rId53"/>
                                <a:stretch>
                                  <a:fillRect/>
                                </a:stretch>
                              </pic:blipFill>
                              <pic:spPr>
                                <a:xfrm>
                                  <a:off x="0" y="0"/>
                                  <a:ext cx="2106000" cy="673920"/>
                                </a:xfrm>
                                <a:prstGeom prst="rect"/>
                              </pic:spPr>
                            </pic:pic>
                          </a:graphicData>
                        </a:graphic>
                      </wp:inline>
                    </w:drawing>
                  </w:r>
                </w:p>
                <w:p>
                  <w:pPr>
                    <w:spacing w:after="60"/>
                    <w:jc w:val="center"/>
                  </w:pPr>
                  <w:r>
                    <w:rPr>
                      <w:rFonts w:ascii="맑은 고딕" w:hAnsi="맑은 고딕" w:eastAsia="맑은 고딕"/>
                      <w:b w:val="0"/>
                      <w:i w:val="0"/>
                    </w:rPr>
                    <w:t>p.67 그림 Ⅱ-21 염화 나트륨의 이온 결합 모형(교사용 주석 지움)</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49615"/>
                        <wp:docPr id="46" name="Picture 46"/>
                        <wp:cNvGraphicFramePr>
                          <a:graphicFrameLocks noChangeAspect="1"/>
                        </wp:cNvGraphicFramePr>
                        <a:graphic>
                          <a:graphicData uri="http://schemas.openxmlformats.org/drawingml/2006/picture">
                            <pic:pic>
                              <pic:nvPicPr>
                                <pic:cNvPr id="0" name="T203_vb7.jpg"/>
                                <pic:cNvPicPr/>
                              </pic:nvPicPr>
                              <pic:blipFill>
                                <a:blip r:embed="rId54"/>
                                <a:stretch>
                                  <a:fillRect/>
                                </a:stretch>
                              </pic:blipFill>
                              <pic:spPr>
                                <a:xfrm>
                                  <a:off x="0" y="0"/>
                                  <a:ext cx="2106000" cy="549615"/>
                                </a:xfrm>
                                <a:prstGeom prst="rect"/>
                              </pic:spPr>
                            </pic:pic>
                          </a:graphicData>
                        </a:graphic>
                      </wp:inline>
                    </w:drawing>
                  </w:r>
                </w:p>
                <w:p>
                  <w:pPr>
                    <w:spacing w:after="60"/>
                    <w:jc w:val="center"/>
                  </w:pPr>
                  <w:r>
                    <w:rPr>
                      <w:rFonts w:ascii="맑은 고딕" w:hAnsi="맑은 고딕" w:eastAsia="맑은 고딕"/>
                      <w:b w:val="0"/>
                      <w:i w:val="0"/>
                    </w:rPr>
                    <w:t>p.67 본문 공유 결합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557623"/>
                        <wp:docPr id="47" name="Picture 47"/>
                        <wp:cNvGraphicFramePr>
                          <a:graphicFrameLocks noChangeAspect="1"/>
                        </wp:cNvGraphicFramePr>
                        <a:graphic>
                          <a:graphicData uri="http://schemas.openxmlformats.org/drawingml/2006/picture">
                            <pic:pic>
                              <pic:nvPicPr>
                                <pic:cNvPr id="0" name="T203_vb8.jpg"/>
                                <pic:cNvPicPr/>
                              </pic:nvPicPr>
                              <pic:blipFill>
                                <a:blip r:embed="rId55"/>
                                <a:stretch>
                                  <a:fillRect/>
                                </a:stretch>
                              </pic:blipFill>
                              <pic:spPr>
                                <a:xfrm>
                                  <a:off x="0" y="0"/>
                                  <a:ext cx="2106000" cy="557623"/>
                                </a:xfrm>
                                <a:prstGeom prst="rect"/>
                              </pic:spPr>
                            </pic:pic>
                          </a:graphicData>
                        </a:graphic>
                      </wp:inline>
                    </w:drawing>
                  </w:r>
                </w:p>
                <w:p>
                  <w:pPr>
                    <w:spacing w:after="60"/>
                    <w:jc w:val="center"/>
                  </w:pPr>
                  <w:r>
                    <w:rPr>
                      <w:rFonts w:ascii="맑은 고딕" w:hAnsi="맑은 고딕" w:eastAsia="맑은 고딕"/>
                      <w:b w:val="0"/>
                      <w:i w:val="0"/>
                    </w:rPr>
                    <w:t>p.67 그림 Ⅱ-22 물 분자의 공유 결합 모형(생성물 부분과 캡션)</w:t>
                  </w:r>
                </w:p>
              </w:tc>
            </w:tr>
          </w:tbl>
          <w:p/>
          <w:p>
            <w:r>
              <w:rPr>
                <w:rFonts w:ascii="맑은 고딕" w:hAnsi="맑은 고딕" w:eastAsia="맑은 고딕"/>
                <w:b w:val="0"/>
                <w:i/>
              </w:rPr>
              <w:t>그림 Ⅱ-22의 반응물(수소 원자 2 개·산소 원자) 부분은 교사용 보충 박스(공유 전자쌍과 비공유 전자쌍)에 덮여 있어 생성물 물 분자와 캡션만 실음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81770"/>
                        <wp:docPr id="48" name="Picture 48"/>
                        <wp:cNvGraphicFramePr>
                          <a:graphicFrameLocks noChangeAspect="1"/>
                        </wp:cNvGraphicFramePr>
                        <a:graphic>
                          <a:graphicData uri="http://schemas.openxmlformats.org/drawingml/2006/picture">
                            <pic:pic>
                              <pic:nvPicPr>
                                <pic:cNvPr id="0" name="T203_mb1.jpg"/>
                                <pic:cNvPicPr/>
                              </pic:nvPicPr>
                              <pic:blipFill>
                                <a:blip r:embed="rId56"/>
                                <a:stretch>
                                  <a:fillRect/>
                                </a:stretch>
                              </pic:blipFill>
                              <pic:spPr>
                                <a:xfrm>
                                  <a:off x="0" y="0"/>
                                  <a:ext cx="2106000" cy="1081770"/>
                                </a:xfrm>
                                <a:prstGeom prst="rect"/>
                              </pic:spPr>
                            </pic:pic>
                          </a:graphicData>
                        </a:graphic>
                      </wp:inline>
                    </w:drawing>
                  </w:r>
                </w:p>
                <w:p>
                  <w:pPr>
                    <w:spacing w:after="60"/>
                    <w:jc w:val="center"/>
                  </w:pPr>
                  <w:r>
                    <w:rPr>
                      <w:rFonts w:ascii="맑은 고딕" w:hAnsi="맑은 고딕" w:eastAsia="맑은 고딕"/>
                      <w:b w:val="0"/>
                      <w:i w:val="0"/>
                    </w:rPr>
                    <w:t>p.66 본문 원소의 결합(18족 원소의 전자 배치)</w:t>
                  </w:r>
                </w:p>
              </w:tc>
              <w:tc>
                <w:tcPr>
                  <w:tcW w:type="dxa" w:w="3487"/>
                  <w:vAlign w:val="top"/>
                </w:tcPr>
                <w:p>
                  <w:pPr>
                    <w:spacing w:line="240" w:lineRule="auto"/>
                    <w:jc w:val="center"/>
                  </w:pPr>
                  <w:r>
                    <w:drawing>
                      <wp:inline xmlns:a="http://schemas.openxmlformats.org/drawingml/2006/main" xmlns:pic="http://schemas.openxmlformats.org/drawingml/2006/picture">
                        <wp:extent cx="1371600" cy="640080"/>
                        <wp:docPr id="49" name="Picture 49"/>
                        <wp:cNvGraphicFramePr>
                          <a:graphicFrameLocks noChangeAspect="1"/>
                        </wp:cNvGraphicFramePr>
                        <a:graphic>
                          <a:graphicData uri="http://schemas.openxmlformats.org/drawingml/2006/picture">
                            <pic:pic>
                              <pic:nvPicPr>
                                <pic:cNvPr id="0" name="T203_mb2.jpg"/>
                                <pic:cNvPicPr/>
                              </pic:nvPicPr>
                              <pic:blipFill>
                                <a:blip r:embed="rId57"/>
                                <a:stretch>
                                  <a:fillRect/>
                                </a:stretch>
                              </pic:blipFill>
                              <pic:spPr>
                                <a:xfrm>
                                  <a:off x="0" y="0"/>
                                  <a:ext cx="1371600" cy="640080"/>
                                </a:xfrm>
                                <a:prstGeom prst="rect"/>
                              </pic:spPr>
                            </pic:pic>
                          </a:graphicData>
                        </a:graphic>
                      </wp:inline>
                    </w:drawing>
                  </w:r>
                </w:p>
                <w:p>
                  <w:pPr>
                    <w:spacing w:after="60"/>
                    <w:jc w:val="center"/>
                  </w:pPr>
                  <w:r>
                    <w:rPr>
                      <w:rFonts w:ascii="맑은 고딕" w:hAnsi="맑은 고딕" w:eastAsia="맑은 고딕"/>
                      <w:b w:val="0"/>
                      <w:i w:val="0"/>
                    </w:rPr>
                    <w:t>p.66 곁글 비활성 기체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847368"/>
                        <wp:docPr id="50" name="Picture 50"/>
                        <wp:cNvGraphicFramePr>
                          <a:graphicFrameLocks noChangeAspect="1"/>
                        </wp:cNvGraphicFramePr>
                        <a:graphic>
                          <a:graphicData uri="http://schemas.openxmlformats.org/drawingml/2006/picture">
                            <pic:pic>
                              <pic:nvPicPr>
                                <pic:cNvPr id="0" name="T203_mb3.jpg"/>
                                <pic:cNvPicPr/>
                              </pic:nvPicPr>
                              <pic:blipFill>
                                <a:blip r:embed="rId58"/>
                                <a:stretch>
                                  <a:fillRect/>
                                </a:stretch>
                              </pic:blipFill>
                              <pic:spPr>
                                <a:xfrm>
                                  <a:off x="0" y="0"/>
                                  <a:ext cx="2106000" cy="1847368"/>
                                </a:xfrm>
                                <a:prstGeom prst="rect"/>
                              </pic:spPr>
                            </pic:pic>
                          </a:graphicData>
                        </a:graphic>
                      </wp:inline>
                    </w:drawing>
                  </w:r>
                </w:p>
                <w:p>
                  <w:pPr>
                    <w:spacing w:after="60"/>
                    <w:jc w:val="center"/>
                  </w:pPr>
                  <w:r>
                    <w:rPr>
                      <w:rFonts w:ascii="맑은 고딕" w:hAnsi="맑은 고딕" w:eastAsia="맑은 고딕"/>
                      <w:b w:val="0"/>
                      <w:i w:val="0"/>
                    </w:rPr>
                    <w:t>p.66 그림 Ⅱ-18 18족 원소 헬륨, 네온, 아르곤의 전자 배치와 이용</w:t>
                  </w:r>
                </w:p>
              </w:tc>
              <w:tc>
                <w:tcPr>
                  <w:tcW w:type="dxa" w:w="3487"/>
                  <w:vAlign w:val="top"/>
                </w:tcPr>
                <w:p>
                  <w:pPr>
                    <w:spacing w:line="240" w:lineRule="auto"/>
                    <w:jc w:val="center"/>
                  </w:pPr>
                  <w:r>
                    <w:drawing>
                      <wp:inline xmlns:a="http://schemas.openxmlformats.org/drawingml/2006/main" xmlns:pic="http://schemas.openxmlformats.org/drawingml/2006/picture">
                        <wp:extent cx="2106000" cy="250303"/>
                        <wp:docPr id="51" name="Picture 51"/>
                        <wp:cNvGraphicFramePr>
                          <a:graphicFrameLocks noChangeAspect="1"/>
                        </wp:cNvGraphicFramePr>
                        <a:graphic>
                          <a:graphicData uri="http://schemas.openxmlformats.org/drawingml/2006/picture">
                            <pic:pic>
                              <pic:nvPicPr>
                                <pic:cNvPr id="0" name="T203_mb4.jpg"/>
                                <pic:cNvPicPr/>
                              </pic:nvPicPr>
                              <pic:blipFill>
                                <a:blip r:embed="rId59"/>
                                <a:stretch>
                                  <a:fillRect/>
                                </a:stretch>
                              </pic:blipFill>
                              <pic:spPr>
                                <a:xfrm>
                                  <a:off x="0" y="0"/>
                                  <a:ext cx="2106000" cy="250303"/>
                                </a:xfrm>
                                <a:prstGeom prst="rect"/>
                              </pic:spPr>
                            </pic:pic>
                          </a:graphicData>
                        </a:graphic>
                      </wp:inline>
                    </w:drawing>
                  </w:r>
                </w:p>
                <w:p>
                  <w:pPr>
                    <w:spacing w:after="60"/>
                    <w:jc w:val="center"/>
                  </w:pPr>
                  <w:r>
                    <w:rPr>
                      <w:rFonts w:ascii="맑은 고딕" w:hAnsi="맑은 고딕" w:eastAsia="맑은 고딕"/>
                      <w:b w:val="0"/>
                      <w:i w:val="0"/>
                    </w:rPr>
                    <w:t>p.67 본문(18족 원소와 같은 전자 배치를 하여 안정해지려는 경향)</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65385"/>
                        <wp:docPr id="52" name="Picture 52"/>
                        <wp:cNvGraphicFramePr>
                          <a:graphicFrameLocks noChangeAspect="1"/>
                        </wp:cNvGraphicFramePr>
                        <a:graphic>
                          <a:graphicData uri="http://schemas.openxmlformats.org/drawingml/2006/picture">
                            <pic:pic>
                              <pic:nvPicPr>
                                <pic:cNvPr id="0" name="T203_mb5.jpg"/>
                                <pic:cNvPicPr/>
                              </pic:nvPicPr>
                              <pic:blipFill>
                                <a:blip r:embed="rId60"/>
                                <a:stretch>
                                  <a:fillRect/>
                                </a:stretch>
                              </pic:blipFill>
                              <pic:spPr>
                                <a:xfrm>
                                  <a:off x="0" y="0"/>
                                  <a:ext cx="2106000" cy="365385"/>
                                </a:xfrm>
                                <a:prstGeom prst="rect"/>
                              </pic:spPr>
                            </pic:pic>
                          </a:graphicData>
                        </a:graphic>
                      </wp:inline>
                    </w:drawing>
                  </w:r>
                </w:p>
                <w:p>
                  <w:pPr>
                    <w:spacing w:after="60"/>
                    <w:jc w:val="center"/>
                  </w:pPr>
                  <w:r>
                    <w:rPr>
                      <w:rFonts w:ascii="맑은 고딕" w:hAnsi="맑은 고딕" w:eastAsia="맑은 고딕"/>
                      <w:b w:val="0"/>
                      <w:i w:val="0"/>
                    </w:rPr>
                    <w:t>p.67 본문 결론(전자를 잃거나 얻거나 공유하면서 결합 형성)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719262"/>
                        <wp:docPr id="53" name="Picture 53"/>
                        <wp:cNvGraphicFramePr>
                          <a:graphicFrameLocks noChangeAspect="1"/>
                        </wp:cNvGraphicFramePr>
                        <a:graphic>
                          <a:graphicData uri="http://schemas.openxmlformats.org/drawingml/2006/picture">
                            <pic:pic>
                              <pic:nvPicPr>
                                <pic:cNvPr id="0" name="T203_mb6.jpg"/>
                                <pic:cNvPicPr/>
                              </pic:nvPicPr>
                              <pic:blipFill>
                                <a:blip r:embed="rId61"/>
                                <a:stretch>
                                  <a:fillRect/>
                                </a:stretch>
                              </pic:blipFill>
                              <pic:spPr>
                                <a:xfrm>
                                  <a:off x="0" y="0"/>
                                  <a:ext cx="2106000" cy="719262"/>
                                </a:xfrm>
                                <a:prstGeom prst="rect"/>
                              </pic:spPr>
                            </pic:pic>
                          </a:graphicData>
                        </a:graphic>
                      </wp:inline>
                    </w:drawing>
                  </w:r>
                </w:p>
                <w:p>
                  <w:pPr>
                    <w:spacing w:after="60"/>
                    <w:jc w:val="center"/>
                  </w:pPr>
                  <w:r>
                    <w:rPr>
                      <w:rFonts w:ascii="맑은 고딕" w:hAnsi="맑은 고딕" w:eastAsia="맑은 고딕"/>
                      <w:b w:val="0"/>
                      <w:i w:val="0"/>
                    </w:rPr>
                    <w:t>p.68 본문 이온 결합(금속은 양이온, 비금속은 음이온)</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693485"/>
                        <wp:docPr id="54" name="Picture 54"/>
                        <wp:cNvGraphicFramePr>
                          <a:graphicFrameLocks noChangeAspect="1"/>
                        </wp:cNvGraphicFramePr>
                        <a:graphic>
                          <a:graphicData uri="http://schemas.openxmlformats.org/drawingml/2006/picture">
                            <pic:pic>
                              <pic:nvPicPr>
                                <pic:cNvPr id="0" name="T203_mb7.jpg"/>
                                <pic:cNvPicPr/>
                              </pic:nvPicPr>
                              <pic:blipFill>
                                <a:blip r:embed="rId62"/>
                                <a:stretch>
                                  <a:fillRect/>
                                </a:stretch>
                              </pic:blipFill>
                              <pic:spPr>
                                <a:xfrm>
                                  <a:off x="0" y="0"/>
                                  <a:ext cx="2106000" cy="1693485"/>
                                </a:xfrm>
                                <a:prstGeom prst="rect"/>
                              </pic:spPr>
                            </pic:pic>
                          </a:graphicData>
                        </a:graphic>
                      </wp:inline>
                    </w:drawing>
                  </w:r>
                </w:p>
                <w:p>
                  <w:pPr>
                    <w:spacing w:after="60"/>
                    <w:jc w:val="center"/>
                  </w:pPr>
                  <w:r>
                    <w:rPr>
                      <w:rFonts w:ascii="맑은 고딕" w:hAnsi="맑은 고딕" w:eastAsia="맑은 고딕"/>
                      <w:b w:val="0"/>
                      <w:i w:val="0"/>
                    </w:rPr>
                    <w:t>p.68 그림 Ⅱ-19 나트륨 이온과 염화 이온의 형성 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713508"/>
                        <wp:docPr id="55" name="Picture 55"/>
                        <wp:cNvGraphicFramePr>
                          <a:graphicFrameLocks noChangeAspect="1"/>
                        </wp:cNvGraphicFramePr>
                        <a:graphic>
                          <a:graphicData uri="http://schemas.openxmlformats.org/drawingml/2006/picture">
                            <pic:pic>
                              <pic:nvPicPr>
                                <pic:cNvPr id="0" name="T203_mb8.jpg"/>
                                <pic:cNvPicPr/>
                              </pic:nvPicPr>
                              <pic:blipFill>
                                <a:blip r:embed="rId63"/>
                                <a:stretch>
                                  <a:fillRect/>
                                </a:stretch>
                              </pic:blipFill>
                              <pic:spPr>
                                <a:xfrm>
                                  <a:off x="0" y="0"/>
                                  <a:ext cx="2106000" cy="713508"/>
                                </a:xfrm>
                                <a:prstGeom prst="rect"/>
                              </pic:spPr>
                            </pic:pic>
                          </a:graphicData>
                        </a:graphic>
                      </wp:inline>
                    </w:drawing>
                  </w:r>
                </w:p>
                <w:p>
                  <w:pPr>
                    <w:spacing w:after="60"/>
                    <w:jc w:val="center"/>
                  </w:pPr>
                  <w:r>
                    <w:rPr>
                      <w:rFonts w:ascii="맑은 고딕" w:hAnsi="맑은 고딕" w:eastAsia="맑은 고딕"/>
                      <w:b w:val="0"/>
                      <w:i w:val="0"/>
                    </w:rPr>
                    <w:t>p.69 본문 이온 결합 정의(원자가 전자 수와 18족 전자 배치)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02080" cy="475488"/>
                        <wp:docPr id="56" name="Picture 56"/>
                        <wp:cNvGraphicFramePr>
                          <a:graphicFrameLocks noChangeAspect="1"/>
                        </wp:cNvGraphicFramePr>
                        <a:graphic>
                          <a:graphicData uri="http://schemas.openxmlformats.org/drawingml/2006/picture">
                            <pic:pic>
                              <pic:nvPicPr>
                                <pic:cNvPr id="0" name="T203_mb9.jpg"/>
                                <pic:cNvPicPr/>
                              </pic:nvPicPr>
                              <pic:blipFill>
                                <a:blip r:embed="rId64"/>
                                <a:stretch>
                                  <a:fillRect/>
                                </a:stretch>
                              </pic:blipFill>
                              <pic:spPr>
                                <a:xfrm>
                                  <a:off x="0" y="0"/>
                                  <a:ext cx="1402080" cy="475488"/>
                                </a:xfrm>
                                <a:prstGeom prst="rect"/>
                              </pic:spPr>
                            </pic:pic>
                          </a:graphicData>
                        </a:graphic>
                      </wp:inline>
                    </w:drawing>
                  </w:r>
                </w:p>
                <w:p>
                  <w:pPr>
                    <w:spacing w:after="60"/>
                    <w:jc w:val="center"/>
                  </w:pPr>
                  <w:r>
                    <w:rPr>
                      <w:rFonts w:ascii="맑은 고딕" w:hAnsi="맑은 고딕" w:eastAsia="맑은 고딕"/>
                      <w:b w:val="0"/>
                      <w:i w:val="0"/>
                    </w:rPr>
                    <w:t>p.69 곁글 정전기적 인력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836426"/>
                        <wp:docPr id="57" name="Picture 57"/>
                        <wp:cNvGraphicFramePr>
                          <a:graphicFrameLocks noChangeAspect="1"/>
                        </wp:cNvGraphicFramePr>
                        <a:graphic>
                          <a:graphicData uri="http://schemas.openxmlformats.org/drawingml/2006/picture">
                            <pic:pic>
                              <pic:nvPicPr>
                                <pic:cNvPr id="0" name="T203_mb10.jpg"/>
                                <pic:cNvPicPr/>
                              </pic:nvPicPr>
                              <pic:blipFill>
                                <a:blip r:embed="rId65"/>
                                <a:stretch>
                                  <a:fillRect/>
                                </a:stretch>
                              </pic:blipFill>
                              <pic:spPr>
                                <a:xfrm>
                                  <a:off x="0" y="0"/>
                                  <a:ext cx="2106000" cy="836426"/>
                                </a:xfrm>
                                <a:prstGeom prst="rect"/>
                              </pic:spPr>
                            </pic:pic>
                          </a:graphicData>
                        </a:graphic>
                      </wp:inline>
                    </w:drawing>
                  </w:r>
                </w:p>
                <w:p>
                  <w:pPr>
                    <w:spacing w:after="60"/>
                    <w:jc w:val="center"/>
                  </w:pPr>
                  <w:r>
                    <w:rPr>
                      <w:rFonts w:ascii="맑은 고딕" w:hAnsi="맑은 고딕" w:eastAsia="맑은 고딕"/>
                      <w:b w:val="0"/>
                      <w:i w:val="0"/>
                    </w:rPr>
                    <w:t>p.69 그림 Ⅱ-20 염화 나트륨의 이온 결합 형성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45246"/>
                        <wp:docPr id="58" name="Picture 58"/>
                        <wp:cNvGraphicFramePr>
                          <a:graphicFrameLocks noChangeAspect="1"/>
                        </wp:cNvGraphicFramePr>
                        <a:graphic>
                          <a:graphicData uri="http://schemas.openxmlformats.org/drawingml/2006/picture">
                            <pic:pic>
                              <pic:nvPicPr>
                                <pic:cNvPr id="0" name="T203_mb11.jpg"/>
                                <pic:cNvPicPr/>
                              </pic:nvPicPr>
                              <pic:blipFill>
                                <a:blip r:embed="rId66"/>
                                <a:stretch>
                                  <a:fillRect/>
                                </a:stretch>
                              </pic:blipFill>
                              <pic:spPr>
                                <a:xfrm>
                                  <a:off x="0" y="0"/>
                                  <a:ext cx="2106000" cy="345246"/>
                                </a:xfrm>
                                <a:prstGeom prst="rect"/>
                              </pic:spPr>
                            </pic:pic>
                          </a:graphicData>
                        </a:graphic>
                      </wp:inline>
                    </w:drawing>
                  </w:r>
                </w:p>
                <w:p>
                  <w:pPr>
                    <w:spacing w:after="60"/>
                    <w:jc w:val="center"/>
                  </w:pPr>
                  <w:r>
                    <w:rPr>
                      <w:rFonts w:ascii="맑은 고딕" w:hAnsi="맑은 고딕" w:eastAsia="맑은 고딕"/>
                      <w:b w:val="0"/>
                      <w:i w:val="0"/>
                    </w:rPr>
                    <w:t>p.69 본문(1 : 1 개수비, 전기적 중성, 입체 구조)</w:t>
                  </w:r>
                </w:p>
              </w:tc>
              <w:tc>
                <w:tcPr>
                  <w:tcW w:type="dxa" w:w="3487"/>
                  <w:vAlign w:val="top"/>
                </w:tcPr>
                <w:p>
                  <w:pPr>
                    <w:spacing w:line="240" w:lineRule="auto"/>
                    <w:jc w:val="center"/>
                  </w:pPr>
                  <w:r>
                    <w:drawing>
                      <wp:inline xmlns:a="http://schemas.openxmlformats.org/drawingml/2006/main" xmlns:pic="http://schemas.openxmlformats.org/drawingml/2006/picture">
                        <wp:extent cx="2106000" cy="733041"/>
                        <wp:docPr id="59" name="Picture 59"/>
                        <wp:cNvGraphicFramePr>
                          <a:graphicFrameLocks noChangeAspect="1"/>
                        </wp:cNvGraphicFramePr>
                        <a:graphic>
                          <a:graphicData uri="http://schemas.openxmlformats.org/drawingml/2006/picture">
                            <pic:pic>
                              <pic:nvPicPr>
                                <pic:cNvPr id="0" name="T203_mb12.jpg"/>
                                <pic:cNvPicPr/>
                              </pic:nvPicPr>
                              <pic:blipFill>
                                <a:blip r:embed="rId67"/>
                                <a:stretch>
                                  <a:fillRect/>
                                </a:stretch>
                              </pic:blipFill>
                              <pic:spPr>
                                <a:xfrm>
                                  <a:off x="0" y="0"/>
                                  <a:ext cx="2106000" cy="733041"/>
                                </a:xfrm>
                                <a:prstGeom prst="rect"/>
                              </pic:spPr>
                            </pic:pic>
                          </a:graphicData>
                        </a:graphic>
                      </wp:inline>
                    </w:drawing>
                  </w:r>
                </w:p>
                <w:p>
                  <w:pPr>
                    <w:spacing w:after="60"/>
                    <w:jc w:val="center"/>
                  </w:pPr>
                  <w:r>
                    <w:rPr>
                      <w:rFonts w:ascii="맑은 고딕" w:hAnsi="맑은 고딕" w:eastAsia="맑은 고딕"/>
                      <w:b w:val="0"/>
                      <w:i w:val="0"/>
                    </w:rPr>
                    <w:t>p.69 그림 Ⅱ-21 염화 나트륨의 구조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13508"/>
                        <wp:docPr id="60" name="Picture 60"/>
                        <wp:cNvGraphicFramePr>
                          <a:graphicFrameLocks noChangeAspect="1"/>
                        </wp:cNvGraphicFramePr>
                        <a:graphic>
                          <a:graphicData uri="http://schemas.openxmlformats.org/drawingml/2006/picture">
                            <pic:pic>
                              <pic:nvPicPr>
                                <pic:cNvPr id="0" name="T203_mb13.jpg"/>
                                <pic:cNvPicPr/>
                              </pic:nvPicPr>
                              <pic:blipFill>
                                <a:blip r:embed="rId68"/>
                                <a:stretch>
                                  <a:fillRect/>
                                </a:stretch>
                              </pic:blipFill>
                              <pic:spPr>
                                <a:xfrm>
                                  <a:off x="0" y="0"/>
                                  <a:ext cx="2106000" cy="713508"/>
                                </a:xfrm>
                                <a:prstGeom prst="rect"/>
                              </pic:spPr>
                            </pic:pic>
                          </a:graphicData>
                        </a:graphic>
                      </wp:inline>
                    </w:drawing>
                  </w:r>
                </w:p>
                <w:p>
                  <w:pPr>
                    <w:spacing w:after="60"/>
                    <w:jc w:val="center"/>
                  </w:pPr>
                  <w:r>
                    <w:rPr>
                      <w:rFonts w:ascii="맑은 고딕" w:hAnsi="맑은 고딕" w:eastAsia="맑은 고딕"/>
                      <w:b w:val="0"/>
                      <w:i w:val="0"/>
                    </w:rPr>
                    <w:t>p.70 본문 공유 결합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883254"/>
                        <wp:docPr id="61" name="Picture 61"/>
                        <wp:cNvGraphicFramePr>
                          <a:graphicFrameLocks noChangeAspect="1"/>
                        </wp:cNvGraphicFramePr>
                        <a:graphic>
                          <a:graphicData uri="http://schemas.openxmlformats.org/drawingml/2006/picture">
                            <pic:pic>
                              <pic:nvPicPr>
                                <pic:cNvPr id="0" name="T203_mb14.jpg"/>
                                <pic:cNvPicPr/>
                              </pic:nvPicPr>
                              <pic:blipFill>
                                <a:blip r:embed="rId69"/>
                                <a:stretch>
                                  <a:fillRect/>
                                </a:stretch>
                              </pic:blipFill>
                              <pic:spPr>
                                <a:xfrm>
                                  <a:off x="0" y="0"/>
                                  <a:ext cx="2106000" cy="883254"/>
                                </a:xfrm>
                                <a:prstGeom prst="rect"/>
                              </pic:spPr>
                            </pic:pic>
                          </a:graphicData>
                        </a:graphic>
                      </wp:inline>
                    </w:drawing>
                  </w:r>
                </w:p>
                <w:p>
                  <w:pPr>
                    <w:spacing w:after="60"/>
                    <w:jc w:val="center"/>
                  </w:pPr>
                  <w:r>
                    <w:rPr>
                      <w:rFonts w:ascii="맑은 고딕" w:hAnsi="맑은 고딕" w:eastAsia="맑은 고딕"/>
                      <w:b w:val="0"/>
                      <w:i w:val="0"/>
                    </w:rPr>
                    <w:t>p.70 그림 Ⅱ-22 물 분자의 공유 결합 형성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35212"/>
                        <wp:docPr id="62" name="Picture 62"/>
                        <wp:cNvGraphicFramePr>
                          <a:graphicFrameLocks noChangeAspect="1"/>
                        </wp:cNvGraphicFramePr>
                        <a:graphic>
                          <a:graphicData uri="http://schemas.openxmlformats.org/drawingml/2006/picture">
                            <pic:pic>
                              <pic:nvPicPr>
                                <pic:cNvPr id="0" name="T203_mb15.jpg"/>
                                <pic:cNvPicPr/>
                              </pic:nvPicPr>
                              <pic:blipFill>
                                <a:blip r:embed="rId70"/>
                                <a:stretch>
                                  <a:fillRect/>
                                </a:stretch>
                              </pic:blipFill>
                              <pic:spPr>
                                <a:xfrm>
                                  <a:off x="0" y="0"/>
                                  <a:ext cx="2106000" cy="435212"/>
                                </a:xfrm>
                                <a:prstGeom prst="rect"/>
                              </pic:spPr>
                            </pic:pic>
                          </a:graphicData>
                        </a:graphic>
                      </wp:inline>
                    </w:drawing>
                  </w:r>
                </w:p>
                <w:p>
                  <w:pPr>
                    <w:spacing w:after="60"/>
                    <w:jc w:val="center"/>
                  </w:pPr>
                  <w:r>
                    <w:rPr>
                      <w:rFonts w:ascii="맑은 고딕" w:hAnsi="맑은 고딕" w:eastAsia="맑은 고딕"/>
                      <w:b w:val="0"/>
                      <w:i w:val="0"/>
                    </w:rPr>
                    <w:t>p.70 곁글 공유 전자쌍 정의와 본문(수소·산소의 전자쌍 공유)</w:t>
                  </w:r>
                </w:p>
              </w:tc>
              <w:tc>
                <w:tcPr>
                  <w:tcW w:type="dxa" w:w="3487"/>
                  <w:vAlign w:val="top"/>
                </w:tcPr>
                <w:p>
                  <w:pPr>
                    <w:spacing w:line="240" w:lineRule="auto"/>
                    <w:jc w:val="center"/>
                  </w:pPr>
                  <w:r>
                    <w:drawing>
                      <wp:inline xmlns:a="http://schemas.openxmlformats.org/drawingml/2006/main" xmlns:pic="http://schemas.openxmlformats.org/drawingml/2006/picture">
                        <wp:extent cx="2106000" cy="768172"/>
                        <wp:docPr id="63" name="Picture 63"/>
                        <wp:cNvGraphicFramePr>
                          <a:graphicFrameLocks noChangeAspect="1"/>
                        </wp:cNvGraphicFramePr>
                        <a:graphic>
                          <a:graphicData uri="http://schemas.openxmlformats.org/drawingml/2006/picture">
                            <pic:pic>
                              <pic:nvPicPr>
                                <pic:cNvPr id="0" name="T203_mb16.jpg"/>
                                <pic:cNvPicPr/>
                              </pic:nvPicPr>
                              <pic:blipFill>
                                <a:blip r:embed="rId71"/>
                                <a:stretch>
                                  <a:fillRect/>
                                </a:stretch>
                              </pic:blipFill>
                              <pic:spPr>
                                <a:xfrm>
                                  <a:off x="0" y="0"/>
                                  <a:ext cx="2106000" cy="768172"/>
                                </a:xfrm>
                                <a:prstGeom prst="rect"/>
                              </pic:spPr>
                            </pic:pic>
                          </a:graphicData>
                        </a:graphic>
                      </wp:inline>
                    </w:drawing>
                  </w:r>
                </w:p>
                <w:p>
                  <w:pPr>
                    <w:spacing w:after="60"/>
                    <w:jc w:val="center"/>
                  </w:pPr>
                  <w:r>
                    <w:rPr>
                      <w:rFonts w:ascii="맑은 고딕" w:hAnsi="맑은 고딕" w:eastAsia="맑은 고딕"/>
                      <w:b w:val="0"/>
                      <w:i w:val="0"/>
                    </w:rPr>
                    <w:t>p.70 그림 Ⅱ-23 산소 분자의 공유 결합 형성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45246"/>
                        <wp:docPr id="64" name="Picture 64"/>
                        <wp:cNvGraphicFramePr>
                          <a:graphicFrameLocks noChangeAspect="1"/>
                        </wp:cNvGraphicFramePr>
                        <a:graphic>
                          <a:graphicData uri="http://schemas.openxmlformats.org/drawingml/2006/picture">
                            <pic:pic>
                              <pic:nvPicPr>
                                <pic:cNvPr id="0" name="T203_mb17.jpg"/>
                                <pic:cNvPicPr/>
                              </pic:nvPicPr>
                              <pic:blipFill>
                                <a:blip r:embed="rId72"/>
                                <a:stretch>
                                  <a:fillRect/>
                                </a:stretch>
                              </pic:blipFill>
                              <pic:spPr>
                                <a:xfrm>
                                  <a:off x="0" y="0"/>
                                  <a:ext cx="2106000" cy="345246"/>
                                </a:xfrm>
                                <a:prstGeom prst="rect"/>
                              </pic:spPr>
                            </pic:pic>
                          </a:graphicData>
                        </a:graphic>
                      </wp:inline>
                    </w:drawing>
                  </w:r>
                </w:p>
                <w:p>
                  <w:pPr>
                    <w:spacing w:after="60"/>
                    <w:jc w:val="center"/>
                  </w:pPr>
                  <w:r>
                    <w:rPr>
                      <w:rFonts w:ascii="맑은 고딕" w:hAnsi="맑은 고딕" w:eastAsia="맑은 고딕"/>
                      <w:b w:val="0"/>
                      <w:i w:val="0"/>
                    </w:rPr>
                    <w:t>p.70 본문(산소 분자는 2 개의 전자쌍을 공유)</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18족 원소(헬륨, 네온, 아르곤)는 가장 바깥 전자 껍질에 전자가 2 개 또는 8 개 채워진 안정한 전자 배치를 이루어 다른 원소와 거의 반응하지 않고 원자 상태로 존재한다(비활성 기체). 지구와 생명체를 구성하는 수소, 산소, 철 등 수많은 원소는 대부분 화학 결합을 형성하며, 이때 18족 원소와 같은 전자 배치를 이루어 안정해진다(p.66). 이온 결합: 나트륨 원자가 전자 1 개를 잃어 Na⁺, 염소 원자가 그 전자를 얻어 Cl⁻ → 양이온과 음이온 사이의 정전기적 인력으로 형성되는 화학 결합(주로 금속-비금속). 공유 결합: 2 개 이상의 원자가 전자쌍을 공유하여 형성되는 화학 결합(주로 비금속-비금속, 물 분자)(p.67)</w:t>
            </w:r>
          </w:p>
          <w:p>
            <w:r>
              <w:rPr>
                <w:rFonts w:ascii="맑은 고딕" w:hAnsi="맑은 고딕" w:eastAsia="맑은 고딕"/>
                <w:b w:val="0"/>
                <w:i w:val="0"/>
              </w:rPr>
              <w:t>표현 특징(비상): ‘18족 원소처럼 안정해지려고 한다’, ‘18족 원소와 같은 전자 배치를 이루어 안정해진다’로 서술, ‘원자가 전자’ 수로 설명하지 않고 ‘헬륨보다 전자 1 개가 적다’처럼 18족과의 전자 수 차이로 비교, 이온 결합을 ‘반대의 전하를 띤 두 이온은 서로 끌어당겨’로, 공유 결합을 ‘2 개 이상의 원자가 전자쌍을 공유’로 정의 / 옥텟 규칙·공유 전자쌍·다중 결합은 교사용 보충에만</w:t>
            </w:r>
          </w:p>
        </w:tc>
        <w:tc>
          <w:tcPr>
            <w:tcW w:type="dxa" w:w="7200"/>
            <w:tcMar>
              <w:top w:w="22" w:type="dxa"/>
              <w:bottom w:w="22" w:type="dxa"/>
            </w:tcMar>
          </w:tcPr>
          <w:p>
            <w:r>
              <w:rPr>
                <w:rFonts w:ascii="맑은 고딕" w:hAnsi="맑은 고딕" w:eastAsia="맑은 고딕"/>
                <w:b w:val="0"/>
                <w:i w:val="0"/>
              </w:rPr>
              <w:t>18족 원소들은 원자의 전자 배치에서 가장 바깥 전자 껍질에 2 개 또는 8 개의 전자가 채워져 있으며 화학적으로 안정하여 다른 원소와 잘 반응하지 않는다(p.66). 18족이 아닌 원소들은 18족 원소와 같은 전자 배치를 하여 안정해지려는 경향이 있어, 원자들이 전자를 잃거나 얻기도 하고 원자들 사이에 전자를 공유하기도 하면서 결합을 형성한다(p.67). 이온 결합: 금속 원소는 전자를 잃어 양이온, 비금속 원소는 전자를 얻어 음이온이 되기 쉽고, 양이온과 음이온 사이에 정전기적 인력이 작용해 형성되는 결합. NaCl은 1 : 1 개수비로 전기적으로 중성, 규칙적인 입체 구조(p.68~69). 공유 결합: 비금속 원소의 원자들이 전자쌍을 공유하며 형성하는 결합. H₂O(공유 전자쌍 2), O₂(서로 2 개의 전자쌍 공유)(p.70)</w:t>
            </w:r>
          </w:p>
          <w:p>
            <w:r>
              <w:rPr>
                <w:rFonts w:ascii="맑은 고딕" w:hAnsi="맑은 고딕" w:eastAsia="맑은 고딕"/>
                <w:b w:val="0"/>
                <w:i w:val="0"/>
              </w:rPr>
              <w:t>표현 특징(미래엔): ‘원자가 전자 수가 1이므로 전자 1 개를 잃어’처럼 원자가 전자 수를 근거로 씀(비상은 18족과의 전자 수 차이), 이온 결합을 ‘정전기적 인력이 작용해 형성되는 결합’(용어 정의 곁글 포함), 공유 결합을 ‘비금속 원소의 원자들이’로 한정해 정의(비상은 ‘2 개 이상의 원자가’ + ‘주로 비금속’), 공유 전자쌍을 학생 곁글로 정의 / ‘안정해지려는 경향’, ‘전자를 얻으려는 경향’ 표현</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원자는 전자 8 개를 채우고 싶어서(안정해지려고) 결합한다 → 원자에 의도는 없다. 결합하면 에너지가 낮아지고, 2주기 원자는 n=2 껍질에 8 개까지만 들어가며 그 이상은 에너지가 훨씬 높은 다음 껍질을 써야 하므로, 8은 목표가 아니라 에너지가 낮아지는 과정이 멈추는 지점이다 (강의 자료 / 비상 p.66 ‘안정해지려고 한다’, 미래엔 p.67 ‘안정해지기 위해’·p.70 ‘얻으려는 경향’ 표현 주의)</w:t>
            </w:r>
          </w:p>
          <w:p>
            <w:pPr>
              <w:ind w:left="170" w:hanging="170"/>
            </w:pPr>
            <w:r>
              <w:rPr>
                <w:rFonts w:ascii="맑은 고딕" w:hAnsi="맑은 고딕" w:eastAsia="맑은 고딕"/>
                <w:b w:val="0"/>
                <w:i w:val="0"/>
              </w:rPr>
              <w:t>• 모든 원자는 가장 바깥 껍질에 전자 8 개가 되어야 안정하다(옥텟 규칙은 항상 성립) → 헬륨은 2 개로 안정하고 결합한 수소도 헬륨과 같은 2 개가 된다. 옥텟 규칙은 주로 2, 3주기 전형 원소 사이 결합에 잘 맞는 경험 규칙이다 (비상 p.66 교사용 보충 옥텟 규칙, 그림 Ⅱ-22 / 미래엔 p.66 ‘2 개 또는 8 개’, p.70 수소-헬륨)</w:t>
            </w:r>
          </w:p>
          <w:p>
            <w:pPr>
              <w:ind w:left="170" w:hanging="170"/>
            </w:pPr>
            <w:r>
              <w:rPr>
                <w:rFonts w:ascii="맑은 고딕" w:hAnsi="맑은 고딕" w:eastAsia="맑은 고딕"/>
                <w:b w:val="0"/>
                <w:i w:val="0"/>
              </w:rPr>
              <w:t>• 원자가 전자를 얻거나 잃어 이온이 되기만 하면 원자보다 안정해진다 → 산소 원자보다 산화 이온(O²⁻) 하나가 에너지가 더 높다. 산화 이온이 양이온과 결합한 전체가 매우 안정해지는 것이다 (비상 p.66 오개념 지도 / 미래엔 해당 서술 없음)</w:t>
            </w:r>
          </w:p>
        </w:tc>
        <w:tc>
          <w:tcPr>
            <w:tcW w:type="dxa" w:w="7200"/>
            <w:tcMar>
              <w:top w:w="22" w:type="dxa"/>
              <w:bottom w:w="22" w:type="dxa"/>
            </w:tcMar>
          </w:tcPr>
          <w:p>
            <w:pPr>
              <w:ind w:left="170" w:hanging="170"/>
            </w:pPr>
            <w:r>
              <w:rPr>
                <w:rFonts w:ascii="맑은 고딕" w:hAnsi="맑은 고딕" w:eastAsia="맑은 고딕"/>
                <w:b w:val="0"/>
                <w:i w:val="0"/>
              </w:rPr>
              <w:t>• 18족과 같은 전자 배치만 만들면 전자를 얼마나 얻든 잃든 상관없다(산소가 전자 6 개를 잃어도, 나트륨이 7 개를 얻어도 된다) → 금속 원소는 전자를 잃어 양이온, 비금속 원소는 전자를 얻어 음이온이 되기 쉬우며 적은 수의 전자가 이동하는 쪽이 일어난다 (미래엔 p.67 해 보기 산소 예시 ‘전자 6 개를 잃는다’, p.68 본문 / 비상 p.66 해 보기 예시 답안 ‘산소는 전자 2개를 얻으면’)</w:t>
            </w:r>
          </w:p>
          <w:p>
            <w:pPr>
              <w:ind w:left="170" w:hanging="170"/>
            </w:pPr>
            <w:r>
              <w:rPr>
                <w:rFonts w:ascii="맑은 고딕" w:hAnsi="맑은 고딕" w:eastAsia="맑은 고딕"/>
                <w:b w:val="0"/>
                <w:i w:val="0"/>
              </w:rPr>
              <w:t>• 옥텟만 맞추면 어떤 화학식도 옳다(NaCl₂, H₃O 등) → 원자가 전자 수에 따라 주고받거나 공유하는 전자 수가 정해지고, 이온 결합 물질은 전기적으로 중성이 되는 개수비로 결합한다 (강의 자료 / 미래엔 p.69 1 : 1 개수비·사고력 CaCl₂, p.71 모형 만들기 / 비상 해당 문항 없음)</w:t>
            </w:r>
          </w:p>
          <w:p>
            <w:pPr>
              <w:ind w:left="170" w:hanging="170"/>
            </w:pPr>
            <w:r>
              <w:rPr>
                <w:rFonts w:ascii="맑은 고딕" w:hAnsi="맑은 고딕" w:eastAsia="맑은 고딕"/>
                <w:b w:val="0"/>
                <w:i w:val="0"/>
              </w:rPr>
              <w:t>• 이온 결합에서 나트륨이 잃은 전자는 사라지고, NaCl은 Na 1 개와 Cl 1 개로 된 분자이다 → 전자는 염소로 이동하며(그림 Ⅱ-21 ‘전자가 이동한다.’), 염화 나트륨은 수많은 이온이 규칙적으로 배열한 입체 구조로 분자가 따로 없다 (비상 p.67 그림 Ⅱ-21 / 미래엔 p.69 그림 Ⅱ-21 염화 나트륨의 구조)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18족 원소(헬륨·네온·아르곤)는 원자 상태로 존재하고 거의 반응하지 않음(비상 그림 Ⅱ-20 비행선·용접 / 미래엔 그림 Ⅱ-18 기구·네온사인·이중창) → 가장 바깥 껍질 전자 2 개 또는 8 개의 안정한 전자 배치 → ② 해 보기: 수소·산소·나트륨·염소(미래엔은 산소 예시 후 나트륨·염소) 전자 배치를 18족과 비교하고 전자의 출입으로 18족 전자 배치를 만드는 방법 추론 → ③ 결론: 지구와 생명체를 구성하는 원소는 결합을 형성하며 18족과 같은 전자 배치를 이루어 안정해짐(에너지가 낮아짐) → ④ 이온 결합(Na 전자 1 개 잃음·Cl 전자 1 개 얻음 → 정전기적 인력, 금속-비금속; 미래엔은 1 : 1 개수비·입체 구조·CaCl₂ 사고력)과 공유 결합(H₂O 전자쌍 공유, 비금속-비금속; 미래엔은 O₂·공유 전자쌍·HF 모형 만들기) → ⑤ 구성 원소로 결합 종류 예상(산소·물·소금) → 02-04 전기 전도성 실험으로 이온 결합 물질과 공유 결합 물질 구별   ※ 교과서별 보완: 공통으로 의인화 표현(‘안정해지려고/위해’, ‘얻으려는 경향’)을 에너지 표현으로 바꾸고 ‘옥텟만 맞추면 정답인가’를 묻는 문항(NaCl₂, H₃O 반례) 추가 / 비상은 교사용 오개념 지도(O vs O²⁻)·옥텟 적용 범위를 학생 활동으로 옮기고 해 보기에 ‘전자를 몇 개 잃기/얻기가 쉬운가’ 질문 보태기 / 미래엔은 산소 예시 ‘전자 6 개를 잃는다’를 비교·판단 문항으로 바꾸고 p.71 모형 활동에 실재 물질 확인 기준과 정리 질문 보태기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통과1</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Ⅱ. 물질과 규칙성</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[10통과1-02-04] 인류의 생존에 필수적인 물, 산소, 소금 등이 만들어지는 결합의 차이를 이해하고 각 물질의 성질과 관련지어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이온 결합 물질과 공유 결합 물질의 성질 비교(전기 전도성)</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단원 열기 p.68 · 탐구 p.70 · 본문 p.69, 71</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p.72 · 본문 p.71, 73</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목표(p.68): 인류의 생존에 필수적인 산소, 물, 소금 등이 만들어지는 결합의 차이를 설명할 수 있다. / 이온 결합 물질과 공유 결합 물질의 성질을 비교할 수 있다. / 탐구 목표(p.70): 이온 결합 물질과 공유 결합 물질의 성질을 비교할 수 있다.</w:t>
            </w:r>
          </w:p>
          <w:p>
            <w:r>
              <w:rPr>
                <w:rFonts w:ascii="맑은 고딕" w:hAnsi="맑은 고딕" w:eastAsia="맑은 고딕"/>
                <w:b w:val="0"/>
                <w:i w:val="0"/>
              </w:rPr>
              <w:t>준비물(p.70): 증류수, 염화 나트륨, 염화 칼슘, 설탕, 포도당, 유리 막대, 스포이트, 전기 전도성 측정기, 6 홈판, 약숟가락, 보안경, 실험용 장갑, 실험복</w:t>
            </w:r>
          </w:p>
          <w:p>
            <w:r>
              <w:rPr>
                <w:rFonts w:ascii="맑은 고딕" w:hAnsi="맑은 고딕" w:eastAsia="맑은 고딕"/>
                <w:b w:val="0"/>
                <w:i w:val="0"/>
              </w:rPr>
              <w:t>문제 인식(p.70): 이온 결합 물질과 공유 결합 물질의 성질은 어떻게 다를까? / 도입(p.70 본문): 소금과 설탕은 모두 흰색 고체이며, 물에 녹여도 수용액은 투명하여 구분할 수가 없다. 그러나 염화 나트륨은 이온 결합 물질이고 설탕은 공유 결합 물질로, 두 물질은 화학 결합의 종류가 다르다.</w:t>
            </w:r>
          </w:p>
          <w:p>
            <w:r>
              <w:rPr>
                <w:rFonts w:ascii="맑은 고딕" w:hAnsi="맑은 고딕" w:eastAsia="맑은 고딕"/>
                <w:b w:val="0"/>
                <w:i w:val="0"/>
              </w:rPr>
              <w:t>단원 열기(p.68): 화성 ○○산 탐사 계획(탐사 시간 48 시간, 정상 부근 토양·암석 시료 채취, 휴대 물품 호흡용 공기통 60 시간분·개인별 생존 키트 1 개) → 산소·설탕·물·질소·소금·기타 중 세 가지를 골라 생존 키트 구성, 까닭 설명, 화학 결합의 종류에 따라 구분</w:t>
            </w:r>
          </w:p>
          <w:p>
            <w:r>
              <w:rPr>
                <w:rFonts w:ascii="맑은 고딕" w:hAnsi="맑은 고딕" w:eastAsia="맑은 고딕"/>
                <w:b w:val="0"/>
                <w:i w:val="0"/>
              </w:rPr>
              <w:t>곁글(p.69·71, 학생용): 화학식 — 물질을 구성하는 원자의 종류와 수를 원소 기호로 나타낸 것 / 이온 결합 물질의 화학식 — 전기적으로 중성, 양이온과 음이온의 개수비를 가장 간단한 정수비로 / 이온 결합 물질의 용해 — 양이온과 음이온이 각각 물 분자에 둘러싸여 쉽게 나누어짐 / 공유 결합 물질의 전기 전도성 — 예외적으로 물에 녹아 이온으로 나누어지는 것도 있다(염화 수소)</w:t>
            </w:r>
          </w:p>
          <w:p>
            <w:r>
              <w:rPr>
                <w:rFonts w:ascii="맑은 고딕" w:hAnsi="맑은 고딕" w:eastAsia="맑은 고딕"/>
                <w:b w:val="0"/>
                <w:i w:val="0"/>
              </w:rPr>
              <w:t>교사용 소단원 지도상의 유의점(p.68): 2. 이온 결합 물질과 공유 결합 물질의 성질은 고체 상태와 수용액에서의 전기 전도성 차이로 한정한다. / 교사용 보충(p.71): 전류와 전하, 공유 결합 물질의 녹는점과 끓는점·공유 결정(다이아몬드, 석영), 흑연·그래핀·탄소 나노 튜브의 전기 전도성</w:t>
            </w:r>
          </w:p>
          <w:p>
            <w:r>
              <w:rPr>
                <w:rFonts w:ascii="맑은 고딕" w:hAnsi="맑은 고딕" w:eastAsia="맑은 고딕"/>
                <w:b/>
                <w:i w:val="0"/>
              </w:rPr>
              <w:t>소단원 02 화학 결합과 물질의 성질 2차시 / 탐구 기능 ‘관찰, 의사소통’ / 단원 열기(p.68) + 본문 1 생존에 필수적인 물질·그림 Ⅱ-23·24·확인하기(p.69) + 본문 2 도입·탐구(p.70) + 본문 결론·그림 Ⅱ-25·26·확인하기·과학 역량 기르기(p.71)</w:t>
            </w:r>
          </w:p>
        </w:tc>
        <w:tc>
          <w:tcPr>
            <w:tcW w:type="dxa" w:w="7200"/>
            <w:tcMar>
              <w:top w:w="22" w:type="dxa"/>
              <w:bottom w:w="22" w:type="dxa"/>
            </w:tcMar>
          </w:tcPr>
          <w:p>
            <w:r>
              <w:rPr>
                <w:rFonts w:ascii="맑은 고딕" w:hAnsi="맑은 고딕" w:eastAsia="맑은 고딕"/>
                <w:b w:val="0"/>
                <w:i w:val="0"/>
              </w:rPr>
              <w:t>목표(p.72): 이온 결합 물질과 공유 결합 물질의 성질을 비교할 수 있다.</w:t>
            </w:r>
          </w:p>
          <w:p>
            <w:r>
              <w:rPr>
                <w:rFonts w:ascii="맑은 고딕" w:hAnsi="맑은 고딕" w:eastAsia="맑은 고딕"/>
                <w:b w:val="0"/>
                <w:i w:val="0"/>
              </w:rPr>
              <w:t>준비물(p.72): 증류수, 설탕, 황산 구리(Ⅱ), 염화 나트륨, 간이 전기 전도성 측정기, 비커, 스포이트, 실험복, 실험용 고무장갑, 6 홈판, 유리 막대, 약숟가락, 보안경</w:t>
            </w:r>
          </w:p>
          <w:p>
            <w:r>
              <w:rPr>
                <w:rFonts w:ascii="맑은 고딕" w:hAnsi="맑은 고딕" w:eastAsia="맑은 고딕"/>
                <w:b w:val="0"/>
                <w:i w:val="0"/>
              </w:rPr>
              <w:t>도입(p.72 본문): 이온 결합 물질과 공유 결합 물질의 성질 — 이온 결합으로 이루어진 이온 결합 물질과 공유 결합으로 이루어진 공유 결합 물질의 성질에는 어떤 차이가 있을까? / p.71 본문: 우리 주위에는 인류의 생존에 필수적인 소금, 물, 산소 외에도 수많은 물질이 존재한다. 이러한 물질 중에는 이온 결합이나 공유 결합으로 이루어진 것이 많다.</w:t>
            </w:r>
          </w:p>
          <w:p>
            <w:r>
              <w:rPr>
                <w:rFonts w:ascii="맑은 고딕" w:hAnsi="맑은 고딕" w:eastAsia="맑은 고딕"/>
                <w:b w:val="0"/>
                <w:i w:val="0"/>
              </w:rPr>
              <w:t>그림 Ⅱ-24(p.71): 탄산 칼슘(CaCO₃)은 달걀 껍데기의 주성분, 제산제에는 수산화 마그네슘(Mg(OH)₂), 설탕(C₁₂H₂₂O₁₁)은 단맛을 낼 때, 뷰테인(C₄H₁₀)은 휴대용 가스레인지의 연료</w:t>
            </w:r>
          </w:p>
          <w:p>
            <w:r>
              <w:rPr>
                <w:rFonts w:ascii="맑은 고딕" w:hAnsi="맑은 고딕" w:eastAsia="맑은 고딕"/>
                <w:b w:val="0"/>
                <w:i w:val="0"/>
              </w:rPr>
              <w:t>곁글(p.72·73): 간이 전기 전도성 측정기 — 전류가 흐르면 불이 켜지고 소리가 난다 / 증류수의 전기 전도성 — 증류수는 이온이 들어 있지 않아서 전류가 흐르지 않는다 / 말풍선: 약숟가락, 유리 막대, 간이 전기 전도성 측정기는 시약을 바꿀 때마다 시약에 닿는 부분을 증류수로 씻어서 사용한다.</w:t>
            </w:r>
          </w:p>
          <w:p>
            <w:r>
              <w:rPr>
                <w:rFonts w:ascii="맑은 고딕" w:hAnsi="맑은 고딕" w:eastAsia="맑은 고딕"/>
                <w:b w:val="0"/>
                <w:i w:val="0"/>
              </w:rPr>
              <w:t>창의성 펼치기(p.73): 이온 결합 또는 공유 결합을 표현한 1 칸 만화를 그려 공유 플랫폼에 올리고, 친구의 만화에 한 줄 감상을 남겨 보자. / 실험 영상 QR(p.72)</w:t>
            </w:r>
          </w:p>
          <w:p>
            <w:r>
              <w:rPr>
                <w:rFonts w:ascii="맑은 고딕" w:hAnsi="맑은 고딕" w:eastAsia="맑은 고딕"/>
                <w:b/>
                <w:i w:val="0"/>
              </w:rPr>
              <w:t>탐구(p.72, 과정·기능 ‘탐구 설계 및 수행’, ‘결론 도출 및 일반화’, 탐구 능력·문제 해결 능력) + 본문 결론·그림 Ⅱ-25·26(p.73) + 스스로 확인하기(p.73) / 학생용 — 모범 답안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83526"/>
                        <wp:docPr id="65" name="Picture 65"/>
                        <wp:cNvGraphicFramePr>
                          <a:graphicFrameLocks noChangeAspect="1"/>
                        </wp:cNvGraphicFramePr>
                        <a:graphic>
                          <a:graphicData uri="http://schemas.openxmlformats.org/drawingml/2006/picture">
                            <pic:pic>
                              <pic:nvPicPr>
                                <pic:cNvPr id="0" name="T204_vp1.jpg"/>
                                <pic:cNvPicPr/>
                              </pic:nvPicPr>
                              <pic:blipFill>
                                <a:blip r:embed="rId73"/>
                                <a:stretch>
                                  <a:fillRect/>
                                </a:stretch>
                              </pic:blipFill>
                              <pic:spPr>
                                <a:xfrm>
                                  <a:off x="0" y="0"/>
                                  <a:ext cx="2106000" cy="583526"/>
                                </a:xfrm>
                                <a:prstGeom prst="rect"/>
                              </pic:spPr>
                            </pic:pic>
                          </a:graphicData>
                        </a:graphic>
                      </wp:inline>
                    </w:drawing>
                  </w:r>
                </w:p>
                <w:p>
                  <w:pPr>
                    <w:spacing w:after="60"/>
                    <w:jc w:val="center"/>
                  </w:pPr>
                  <w:r>
                    <w:rPr>
                      <w:rFonts w:ascii="맑은 고딕" w:hAnsi="맑은 고딕" w:eastAsia="맑은 고딕"/>
                      <w:b w:val="0"/>
                      <w:i w:val="0"/>
                    </w:rPr>
                    <w:t>p.70 결과 및 정리 1 고체·수용액 전기 전도성 결과 표(예시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1676399" cy="1170431"/>
                        <wp:docPr id="66" name="Picture 66"/>
                        <wp:cNvGraphicFramePr>
                          <a:graphicFrameLocks noChangeAspect="1"/>
                        </wp:cNvGraphicFramePr>
                        <a:graphic>
                          <a:graphicData uri="http://schemas.openxmlformats.org/drawingml/2006/picture">
                            <pic:pic>
                              <pic:nvPicPr>
                                <pic:cNvPr id="0" name="T204_vp2.jpg"/>
                                <pic:cNvPicPr/>
                              </pic:nvPicPr>
                              <pic:blipFill>
                                <a:blip r:embed="rId74"/>
                                <a:stretch>
                                  <a:fillRect/>
                                </a:stretch>
                              </pic:blipFill>
                              <pic:spPr>
                                <a:xfrm>
                                  <a:off x="0" y="0"/>
                                  <a:ext cx="1676399" cy="1170431"/>
                                </a:xfrm>
                                <a:prstGeom prst="rect"/>
                              </pic:spPr>
                            </pic:pic>
                          </a:graphicData>
                        </a:graphic>
                      </wp:inline>
                    </w:drawing>
                  </w:r>
                </w:p>
                <w:p>
                  <w:pPr>
                    <w:spacing w:after="60"/>
                    <w:jc w:val="center"/>
                  </w:pPr>
                  <w:r>
                    <w:rPr>
                      <w:rFonts w:ascii="맑은 고딕" w:hAnsi="맑은 고딕" w:eastAsia="맑은 고딕"/>
                      <w:b w:val="0"/>
                      <w:i w:val="0"/>
                    </w:rPr>
                    <w:t>p.71 과학 역량 기르기 이온 결합 물질과 공유 결합 물질로 쓴 일기 예시[결과]</w:t>
                  </w:r>
                </w:p>
              </w:tc>
            </w:tr>
          </w:tbl>
          <w:p/>
          <w:p>
            <w:r>
              <w:rPr>
                <w:rFonts w:ascii="맑은 고딕" w:hAnsi="맑은 고딕" w:eastAsia="맑은 고딕"/>
                <w:b w:val="0"/>
                <w:i/>
              </w:rPr>
              <w:t>p.70 6 홈판 측정 사진은 교사용 ‘탐구 유의점’ 박스에 대부분 가려져 제외(남은 부분은 장갑 낀 손과 ‘설탕+증류수, 포도당+증류수’ 표지뿐)</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71220"/>
                        <wp:docPr id="67" name="Picture 67"/>
                        <wp:cNvGraphicFramePr>
                          <a:graphicFrameLocks noChangeAspect="1"/>
                        </wp:cNvGraphicFramePr>
                        <a:graphic>
                          <a:graphicData uri="http://schemas.openxmlformats.org/drawingml/2006/picture">
                            <pic:pic>
                              <pic:nvPicPr>
                                <pic:cNvPr id="0" name="T204_mp1.jpg"/>
                                <pic:cNvPicPr/>
                              </pic:nvPicPr>
                              <pic:blipFill>
                                <a:blip r:embed="rId75"/>
                                <a:stretch>
                                  <a:fillRect/>
                                </a:stretch>
                              </pic:blipFill>
                              <pic:spPr>
                                <a:xfrm>
                                  <a:off x="0" y="0"/>
                                  <a:ext cx="2106000" cy="1771220"/>
                                </a:xfrm>
                                <a:prstGeom prst="rect"/>
                              </pic:spPr>
                            </pic:pic>
                          </a:graphicData>
                        </a:graphic>
                      </wp:inline>
                    </w:drawing>
                  </w:r>
                </w:p>
                <w:p>
                  <w:pPr>
                    <w:spacing w:after="60"/>
                    <w:jc w:val="center"/>
                  </w:pPr>
                  <w:r>
                    <w:rPr>
                      <w:rFonts w:ascii="맑은 고딕" w:hAnsi="맑은 고딕" w:eastAsia="맑은 고딕"/>
                      <w:b w:val="0"/>
                      <w:i w:val="0"/>
                    </w:rPr>
                    <w:t>p.72 간이 전기 전도성 측정기로 6 홈판 ㉮~㉱(증류수·설탕·황산 구리(Ⅱ)·염화 나트륨) 측정[기구·과정]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422987"/>
                        <wp:docPr id="68" name="Picture 68"/>
                        <wp:cNvGraphicFramePr>
                          <a:graphicFrameLocks noChangeAspect="1"/>
                        </wp:cNvGraphicFramePr>
                        <a:graphic>
                          <a:graphicData uri="http://schemas.openxmlformats.org/drawingml/2006/picture">
                            <pic:pic>
                              <pic:nvPicPr>
                                <pic:cNvPr id="0" name="T204_mp2.jpg"/>
                                <pic:cNvPicPr/>
                              </pic:nvPicPr>
                              <pic:blipFill>
                                <a:blip r:embed="rId76"/>
                                <a:stretch>
                                  <a:fillRect/>
                                </a:stretch>
                              </pic:blipFill>
                              <pic:spPr>
                                <a:xfrm>
                                  <a:off x="0" y="0"/>
                                  <a:ext cx="2106000" cy="422987"/>
                                </a:xfrm>
                                <a:prstGeom prst="rect"/>
                              </pic:spPr>
                            </pic:pic>
                          </a:graphicData>
                        </a:graphic>
                      </wp:inline>
                    </w:drawing>
                  </w:r>
                </w:p>
                <w:p>
                  <w:pPr>
                    <w:spacing w:after="60"/>
                    <w:jc w:val="center"/>
                  </w:pPr>
                  <w:r>
                    <w:rPr>
                      <w:rFonts w:ascii="맑은 고딕" w:hAnsi="맑은 고딕" w:eastAsia="맑은 고딕"/>
                      <w:b w:val="0"/>
                      <w:i w:val="0"/>
                    </w:rPr>
                    <w:t>p.72 결과 및 정리 1 결과 표(빈 표)[결과]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[활동으로 단원 열기] 화성 탐사 생존 키트 구성하기 (p.68)</w:t>
            </w:r>
          </w:p>
          <w:p>
            <w:pPr>
              <w:ind w:left="170" w:hanging="170"/>
            </w:pPr>
            <w:r>
              <w:rPr>
                <w:rFonts w:ascii="맑은 고딕" w:hAnsi="맑은 고딕" w:eastAsia="맑은 고딕"/>
                <w:b w:val="0"/>
                <w:i w:val="0"/>
              </w:rPr>
              <w:t>1) 다음 안내를 확인한 뒤 생존 키트를 구성해 보자. 가. 화성 ○○산 탐사 계획(탐사 장소: 베이스캠프 북쪽 ○○산, 탐사 시간 48 시간, 임무: 정상 부근의 토양 및 암석 시료 채취, 휴대 물품: 호흡용 공기통(60 시간 동안 호흡 가능한 양)·개인별 생존 키트 1 개, 안전 사항: 48 시간 안에 돌아오지 않으면 구조대가 수색을 시작함) 나. 생존 키트 구성하기(세 가지 선택: 산소, 설탕, 물, 질소, 소금, 기타)</w:t>
            </w:r>
          </w:p>
          <w:p>
            <w:pPr>
              <w:ind w:left="170" w:hanging="170"/>
            </w:pPr>
            <w:r>
              <w:rPr>
                <w:rFonts w:ascii="맑은 고딕" w:hAnsi="맑은 고딕" w:eastAsia="맑은 고딕"/>
                <w:b w:val="0"/>
                <w:i w:val="0"/>
              </w:rPr>
              <w:t>A. (예시 답안 체크) 산소, 물, 질소</w:t>
            </w:r>
          </w:p>
          <w:p>
            <w:pPr>
              <w:ind w:left="170" w:hanging="170"/>
            </w:pPr>
            <w:r>
              <w:rPr>
                <w:rFonts w:ascii="맑은 고딕" w:hAnsi="맑은 고딕" w:eastAsia="맑은 고딕"/>
                <w:b w:val="0"/>
                <w:i w:val="0"/>
              </w:rPr>
              <w:t>2) 과정 1에서 선택한 세 가지 물질로 생존 키트를 구성한 까닭을 설명해 보자.</w:t>
            </w:r>
          </w:p>
          <w:p>
            <w:pPr>
              <w:ind w:left="170" w:hanging="170"/>
            </w:pPr>
            <w:r>
              <w:rPr>
                <w:rFonts w:ascii="맑은 고딕" w:hAnsi="맑은 고딕" w:eastAsia="맑은 고딕"/>
                <w:b w:val="0"/>
                <w:i w:val="0"/>
              </w:rPr>
              <w:t>A. (예시 답안) • 구조대가 도착하기 전까지 숨을 오래 쉬어야 하므로 산소와 질소를 선택하였고, 등반으로 인해 체액의 전해질이 부족할 수도 있어 소금을 선택하였다. • 탐사 과정에서 에너지가 고갈되고 땀으로 수분과 전해질이 부족할 수 있으므로, 설탕, 소금, 물을 선택하였다.</w:t>
            </w:r>
          </w:p>
          <w:p>
            <w:pPr>
              <w:ind w:left="170" w:hanging="170"/>
            </w:pPr>
            <w:r>
              <w:rPr>
                <w:rFonts w:ascii="맑은 고딕" w:hAnsi="맑은 고딕" w:eastAsia="맑은 고딕"/>
                <w:b w:val="0"/>
                <w:i w:val="0"/>
              </w:rPr>
              <w:t>3) 자신이 선택한 물질을 화학 결합의 종류에 따라 구분해 보자.</w:t>
            </w:r>
          </w:p>
          <w:p>
            <w:pPr>
              <w:ind w:left="170" w:hanging="170"/>
            </w:pPr>
            <w:r>
              <w:rPr>
                <w:rFonts w:ascii="맑은 고딕" w:hAnsi="맑은 고딕" w:eastAsia="맑은 고딕"/>
                <w:b w:val="0"/>
                <w:i w:val="0"/>
              </w:rPr>
              <w:t>A. (예시 답안) • 산소와 질소는 공유 결합한 물질이고, 소금은 이온 결합한 물질이다. • 설탕과 물은 공유 결합한 물질이고, 소금은 이온 결합한 물질이다.</w:t>
            </w:r>
          </w:p>
          <w:p>
            <w:r>
              <w:rPr>
                <w:rFonts w:ascii="맑은 고딕" w:hAnsi="맑은 고딕" w:eastAsia="맑은 고딕"/>
                <w:b/>
                <w:i w:val="0"/>
              </w:rPr>
              <w:t>[본문 확인하기] (p.69)</w:t>
            </w:r>
          </w:p>
          <w:p>
            <w:r>
              <w:rPr>
                <w:rFonts w:ascii="맑은 고딕" w:hAnsi="맑은 고딕" w:eastAsia="맑은 고딕"/>
                <w:b w:val="0"/>
                <w:i w:val="0"/>
              </w:rPr>
              <w:t>연속적으로 결합한 양이온과 음이온이 교대로 반복하여 규칙적인 모양의 입체 구조를 이루는 것은 (공유, 이온) 결합 물질이다. — A. 이온</w:t>
            </w:r>
          </w:p>
          <w:p>
            <w:r>
              <w:rPr>
                <w:rFonts w:ascii="맑은 고딕" w:hAnsi="맑은 고딕" w:eastAsia="맑은 고딕"/>
                <w:b/>
                <w:i w:val="0"/>
              </w:rPr>
              <w:t>[탐구] 이온 결합 물질과 공유 결합 물질의 성질 비교 (p.70)</w:t>
            </w:r>
          </w:p>
          <w:p>
            <w:pPr>
              <w:ind w:left="170" w:hanging="170"/>
            </w:pPr>
            <w:r>
              <w:rPr>
                <w:rFonts w:ascii="맑은 고딕" w:hAnsi="맑은 고딕" w:eastAsia="맑은 고딕"/>
                <w:b w:val="0"/>
                <w:i w:val="0"/>
              </w:rPr>
              <w:t>1) 6 홈판의 첫 번째 가로줄에 염화 나트륨과 염화 칼슘을 약숟가락으로 한 숟가락씩 넣고, 두 번째 가로줄에 설탕과 포도당을 약숟가락으로 한 숟가락씩 넣는다.</w:t>
            </w:r>
          </w:p>
          <w:p>
            <w:pPr>
              <w:ind w:left="170" w:hanging="170"/>
            </w:pPr>
            <w:r>
              <w:rPr>
                <w:rFonts w:ascii="맑은 고딕" w:hAnsi="맑은 고딕" w:eastAsia="맑은 고딕"/>
                <w:b w:val="0"/>
                <w:i w:val="0"/>
              </w:rPr>
              <w:t>2) 각 물질에 전기 전도성 측정기를 꽂아 전류가 흐르는지 관찰한다. — A. 염화 나트륨, 염화 칼슘, 설탕, 포도당 모두 고체 상태에서 전류가 흐르지 않는다.</w:t>
            </w:r>
          </w:p>
          <w:p>
            <w:pPr>
              <w:ind w:left="170" w:hanging="170"/>
            </w:pPr>
            <w:r>
              <w:rPr>
                <w:rFonts w:ascii="맑은 고딕" w:hAnsi="맑은 고딕" w:eastAsia="맑은 고딕"/>
                <w:b w:val="0"/>
                <w:i w:val="0"/>
              </w:rPr>
              <w:t>3) 증류수에 전기 전도성 측정기를 담가 전류가 흐르는지 관찰한다. — A. 증류수는 전류가 흐르지 않는다.</w:t>
            </w:r>
          </w:p>
          <w:p>
            <w:pPr>
              <w:ind w:left="170" w:hanging="170"/>
            </w:pPr>
            <w:r>
              <w:rPr>
                <w:rFonts w:ascii="맑은 고딕" w:hAnsi="맑은 고딕" w:eastAsia="맑은 고딕"/>
                <w:b w:val="0"/>
                <w:i w:val="0"/>
              </w:rPr>
              <w:t>4) 과정 1의 물질에 각각 증류수를 조금씩 넣어 녹인 뒤 전기 전도성 측정기를 담가 전류가 흐르는지 관찰한다. — A. 염화 나트륨, 염화 칼슘은 수용액에서 전류가 흐르며, 설탕, 포도당은 수용액에서 전류가 흐르지 않는다.</w:t>
            </w:r>
          </w:p>
          <w:p>
            <w:r>
              <w:rPr>
                <w:rFonts w:ascii="맑은 고딕" w:hAnsi="맑은 고딕" w:eastAsia="맑은 고딕"/>
                <w:b w:val="0"/>
                <w:i w:val="0"/>
              </w:rPr>
              <w:t>정리 1. 과정 2와 과정 4에서 관찰한 결과를 전류가 흐르면 ○, 전류가 흐르지 않으면 ×로 표시하여 표에 정리해 보자.</w:t>
            </w:r>
          </w:p>
          <w:p>
            <w:pPr>
              <w:ind w:left="170" w:hanging="170"/>
            </w:pPr>
            <w:r>
              <w:rPr>
                <w:rFonts w:ascii="맑은 고딕" w:hAnsi="맑은 고딕" w:eastAsia="맑은 고딕"/>
                <w:b w:val="0"/>
                <w:i w:val="0"/>
              </w:rPr>
              <w:t>A. (예시 답안) 고체: 염화 나트륨 ×, 염화 칼슘 ×, 설탕 ×, 포도당 × / 수용액: 염화 나트륨 ○, 염화 칼슘 ○, 설탕 ×, 포도당 ×</w:t>
            </w:r>
          </w:p>
          <w:p>
            <w:r>
              <w:rPr>
                <w:rFonts w:ascii="맑은 고딕" w:hAnsi="맑은 고딕" w:eastAsia="맑은 고딕"/>
                <w:b w:val="0"/>
                <w:i w:val="0"/>
              </w:rPr>
              <w:t>정리 2. 이온 결합 물질과 공유 결합 물질의 성질은 어떤 차이가 있는지 설명해 보자.</w:t>
            </w:r>
          </w:p>
          <w:p>
            <w:pPr>
              <w:ind w:left="170" w:hanging="170"/>
            </w:pPr>
            <w:r>
              <w:rPr>
                <w:rFonts w:ascii="맑은 고딕" w:hAnsi="맑은 고딕" w:eastAsia="맑은 고딕"/>
                <w:b w:val="0"/>
                <w:i w:val="0"/>
              </w:rPr>
              <w:t>A. 이온 결합 물질과 공유 결합 물질은 전기 전도성에 차이가 있다. 염화 나트륨, 염화 칼슘과 같은 이온 결합 물질은 고체 상태에서 전류가 흐르지 않고 수용액에서 전류가 흐른다. 설탕, 포도당과 같은 공유 결합 물질은 고체 상태와 수용액에서 모두 전류가 흐르지 않는다.</w:t>
            </w:r>
          </w:p>
          <w:p>
            <w:r>
              <w:rPr>
                <w:rFonts w:ascii="맑은 고딕" w:hAnsi="맑은 고딕" w:eastAsia="맑은 고딕"/>
                <w:b w:val="0"/>
                <w:i w:val="0"/>
              </w:rPr>
              <w:t>스스로 평가(p.70): [지식·이해] 이온 결합 물질과 공유 결합 물질의 성질 차이를 전기 전도성과 관련지어 설명하였는가? [과정·기능] 실험 결과를 바탕으로 이온 결합 물질과 공유 결합 물질의 성질을 비교하였는가? [가치·태도] 실험 과정에서 모둠원의 의견을 존중하며 협력하였는가?</w:t>
            </w:r>
          </w:p>
          <w:p>
            <w:r>
              <w:rPr>
                <w:rFonts w:ascii="맑은 고딕" w:hAnsi="맑은 고딕" w:eastAsia="맑은 고딕"/>
                <w:b/>
                <w:i w:val="0"/>
              </w:rPr>
              <w:t>[본문 확인하기] (p.71)</w:t>
            </w:r>
          </w:p>
          <w:p>
            <w:r>
              <w:rPr>
                <w:rFonts w:ascii="맑은 고딕" w:hAnsi="맑은 고딕" w:eastAsia="맑은 고딕"/>
                <w:b w:val="0"/>
                <w:i w:val="0"/>
              </w:rPr>
              <w:t>이온 결합 물질이 물에 녹으면 (①)과/와 (②)(으)로 나누어지므로 수용액에 전원을 연결하면 전류가 흐른다. — A. ① 양이온(음이온) ② 음이온(양이온)</w:t>
            </w:r>
          </w:p>
          <w:p>
            <w:r>
              <w:rPr>
                <w:rFonts w:ascii="맑은 고딕" w:hAnsi="맑은 고딕" w:eastAsia="맑은 고딕"/>
                <w:b/>
                <w:i w:val="0"/>
              </w:rPr>
              <w:t>[과학 역량 기르기] (p.71)</w:t>
            </w:r>
          </w:p>
          <w:p>
            <w:r>
              <w:rPr>
                <w:rFonts w:ascii="맑은 고딕" w:hAnsi="맑은 고딕" w:eastAsia="맑은 고딕"/>
                <w:b w:val="0"/>
                <w:i w:val="0"/>
              </w:rPr>
              <w:t>우리는 하루를 보내는 동안 여러 가지 물질을 사용한다. 하루 중 자신이 사용한 이온 결합 물질과 공유 결합 물질을 소재로 일기를 써 보자. — A. (예시 그림) 아침에 설탕을 뿌린 빵을 먹고 등교했다(설탕: 공유 결합 물질). 학교에서 머리가 조금 아파 아스피린을 먹었다(공유 결합 물질). 집에 와서 달고나를 만들 때 제빵 소다를 사용했다(이온 결합 물질). / 지도 길잡이: 자신의 하루를 간단하게 작성한 뒤 그중 이온 결합 물질과 공유 결합 물질에 해당하는 것이 무엇일지 확인해 보게 지도한다.</w:t>
            </w:r>
          </w:p>
        </w:tc>
        <w:tc>
          <w:tcPr>
            <w:tcW w:type="dxa" w:w="7200"/>
            <w:tcMar>
              <w:top w:w="22" w:type="dxa"/>
              <w:bottom w:w="22" w:type="dxa"/>
            </w:tcMar>
          </w:tcPr>
          <w:p>
            <w:r>
              <w:rPr>
                <w:rFonts w:ascii="맑은 고딕" w:hAnsi="맑은 고딕" w:eastAsia="맑은 고딕"/>
                <w:b/>
                <w:i w:val="0"/>
              </w:rPr>
              <w:t>[탐구] 이온 결합 물질과 공유 결합 물질의 성질 비교하기 (p.72)</w:t>
            </w:r>
          </w:p>
          <w:p>
            <w:pPr>
              <w:ind w:left="170" w:hanging="170"/>
            </w:pPr>
            <w:r>
              <w:rPr>
                <w:rFonts w:ascii="맑은 고딕" w:hAnsi="맑은 고딕" w:eastAsia="맑은 고딕"/>
                <w:b w:val="0"/>
                <w:i w:val="0"/>
              </w:rPr>
              <w:t>1) 6 홈판의 ㉮~㉱에 각각 증류수, 설탕, 황산 구리(Ⅱ), 염화 나트륨을 넣자.</w:t>
            </w:r>
          </w:p>
          <w:p>
            <w:pPr>
              <w:ind w:left="170" w:hanging="170"/>
            </w:pPr>
            <w:r>
              <w:rPr>
                <w:rFonts w:ascii="맑은 고딕" w:hAnsi="맑은 고딕" w:eastAsia="맑은 고딕"/>
                <w:b w:val="0"/>
                <w:i w:val="0"/>
              </w:rPr>
              <w:t>2) 간이 전기 전도성 측정기로 각각의 물질에 전류가 흐르는지 확인해 보자. (말풍선: 약숟가락, 유리 막대, 간이 전기 전도성 측정기는 시약을 바꿀 때마다 시약에 닿는 부분을 증류수로 씻어서 사용한다.)</w:t>
            </w:r>
          </w:p>
          <w:p>
            <w:pPr>
              <w:ind w:left="170" w:hanging="170"/>
            </w:pPr>
            <w:r>
              <w:rPr>
                <w:rFonts w:ascii="맑은 고딕" w:hAnsi="맑은 고딕" w:eastAsia="맑은 고딕"/>
                <w:b w:val="0"/>
                <w:i w:val="0"/>
              </w:rPr>
              <w:t>3) ㉯~㉱에 스포이트로 증류수를 떨어뜨린 뒤 유리 막대로 저어 고체를 녹이자.</w:t>
            </w:r>
          </w:p>
          <w:p>
            <w:pPr>
              <w:ind w:left="170" w:hanging="170"/>
            </w:pPr>
            <w:r>
              <w:rPr>
                <w:rFonts w:ascii="맑은 고딕" w:hAnsi="맑은 고딕" w:eastAsia="맑은 고딕"/>
                <w:b w:val="0"/>
                <w:i w:val="0"/>
              </w:rPr>
              <w:t>4) 간이 전기 전도성 측정기로 각각의 수용액에 전류가 흐르는지 확인해 보자.</w:t>
            </w:r>
          </w:p>
          <w:p>
            <w:r>
              <w:rPr>
                <w:rFonts w:ascii="맑은 고딕" w:hAnsi="맑은 고딕" w:eastAsia="맑은 고딕"/>
                <w:b w:val="0"/>
                <w:i w:val="0"/>
              </w:rPr>
              <w:t>정리 1. 실험 결과 전류가 흐르면 ○ 표, 전류가 흐르지 않으면 × 표 해 보자. (표: ㉮ 증류수(액체) / ㉯ 설탕·㉰ 황산 구리(Ⅱ)·㉱ 염화 나트륨 각각 고체·수용액)</w:t>
            </w:r>
          </w:p>
          <w:p>
            <w:pPr>
              <w:ind w:left="170" w:hanging="170"/>
            </w:pPr>
            <w:r>
              <w:rPr>
                <w:rFonts w:ascii="맑은 고딕" w:hAnsi="맑은 고딕" w:eastAsia="맑은 고딕"/>
                <w:b w:val="0"/>
                <w:i w:val="0"/>
              </w:rPr>
              <w:t>→ 본문(p.73): 이온 결합 물질은 고체 상태에서 양이온과 음이온이 강하게 결합하고 있으므로 전류가 흐르지 않는다. … 이온 결합 물질의 수용액에 전원을 연결하면 … 전류가 흐른다. / 공유 결합 물질은 … 수용액에 전원을 연결해도 … 전류가 흐르지 않는다. / 곁글: 증류수는 이온이 들어 있지 않아서 전류가 흐르지 않는다. (?? 미래엔: 학생용이라 예시 답안 없음 — 설탕 고체의 결과와 황산 구리(Ⅱ)의 결과는 본문에 직접 서술 없음)</w:t>
            </w:r>
          </w:p>
          <w:p>
            <w:r>
              <w:rPr>
                <w:rFonts w:ascii="맑은 고딕" w:hAnsi="맑은 고딕" w:eastAsia="맑은 고딕"/>
                <w:b w:val="0"/>
                <w:i w:val="0"/>
              </w:rPr>
              <w:t>정리 2. 증류수, 설탕, 황산 구리(Ⅱ), 염화 나트륨을 이루는 결합이 무엇인지 쓰고, 이 실험에서 알 수 있는 이온 결합 물질과 공유 결합 물질의 성질을 설명해 보자.</w:t>
            </w:r>
          </w:p>
          <w:p>
            <w:pPr>
              <w:ind w:left="170" w:hanging="170"/>
            </w:pPr>
            <w:r>
              <w:rPr>
                <w:rFonts w:ascii="맑은 고딕" w:hAnsi="맑은 고딕" w:eastAsia="맑은 고딕"/>
                <w:b w:val="0"/>
                <w:i w:val="0"/>
              </w:rPr>
              <w:t>→ 본문(p.73): 이처럼 물질을 이루는 결합의 종류에 따라 수용액에서 전류가 흐르는 성질이 다르게 나타난다. (?? 미래엔: 증류수·설탕·황산 구리(Ⅱ)·염화 나트륨 각각의 결합 종류 예시 답안 없음)</w:t>
            </w:r>
          </w:p>
          <w:p>
            <w:r>
              <w:rPr>
                <w:rFonts w:ascii="맑은 고딕" w:hAnsi="맑은 고딕" w:eastAsia="맑은 고딕"/>
                <w:b w:val="0"/>
                <w:i w:val="0"/>
              </w:rPr>
              <w:t>스스로 평가하기(p.72): [지식·이해] 이온 결합 물질과 공유 결합 물질의 성질을 설명할 수 있나요? [과정·기능] 실험 결과를 과학적으로 분석해 결론을 이끌어 냈나요? [가치·태도] 결합의 종류에 따른 물질의 성질을 비교하며 규칙성을 깨달았나요? / 탐구 돌아보기: 탐구 과정에서 잘한 점, 탐구를 한 뒤 알게 된 내용 등이 있으면 자유롭게 써 보자.</w:t>
            </w:r>
          </w:p>
          <w:p>
            <w:r>
              <w:rPr>
                <w:rFonts w:ascii="맑은 고딕" w:hAnsi="맑은 고딕" w:eastAsia="맑은 고딕"/>
                <w:b/>
                <w:i w:val="0"/>
              </w:rPr>
              <w:t>[스스로 확인하기] (p.73)</w:t>
            </w:r>
          </w:p>
          <w:p>
            <w:pPr>
              <w:ind w:left="170" w:hanging="170"/>
            </w:pPr>
            <w:r>
              <w:rPr>
                <w:rFonts w:ascii="맑은 고딕" w:hAnsi="맑은 고딕" w:eastAsia="맑은 고딕"/>
                <w:b w:val="0"/>
                <w:i w:val="0"/>
              </w:rPr>
              <w:t>1. 이온 결합 물질의 수용액에 전원을 연결하면 양이온은 ((+)극, (−)극) 쪽으로 이동한다. → 본문: 양이온은 (−)극 쪽으로, 음이온은 (+)극 쪽으로 이동하면서 전류가 흐른다.(p.73)</w:t>
            </w:r>
          </w:p>
          <w:p>
            <w:pPr>
              <w:ind w:left="170" w:hanging="170"/>
            </w:pPr>
            <w:r>
              <w:rPr>
                <w:rFonts w:ascii="맑은 고딕" w:hAnsi="맑은 고딕" w:eastAsia="맑은 고딕"/>
                <w:b w:val="0"/>
                <w:i w:val="0"/>
              </w:rPr>
              <w:t>2. 공유 결합 물질인 설탕의 수용액에 전원을 연결하면 전류가 흐른다. (○, ×) → 본문: 공유 결합 물질은 … 물에 녹아도 대부분 이온으로 나눠지지 않는다. 따라서 수용액에 전원을 연결해도 그림 Ⅱ-26과 같이 전류가 흐르지 않는다.(p.73)</w:t>
            </w:r>
          </w:p>
          <w:p>
            <w:r>
              <w:rPr>
                <w:rFonts w:ascii="맑은 고딕" w:hAnsi="맑은 고딕" w:eastAsia="맑은 고딕"/>
                <w:b/>
                <w:i w:val="0"/>
              </w:rPr>
              <w:t>[창의성 펼치기] (p.73)</w:t>
            </w:r>
          </w:p>
          <w:p>
            <w:r>
              <w:rPr>
                <w:rFonts w:ascii="맑은 고딕" w:hAnsi="맑은 고딕" w:eastAsia="맑은 고딕"/>
                <w:b w:val="0"/>
                <w:i w:val="0"/>
              </w:rPr>
              <w:t>이온 결합 또는 공유 결합을 표현한 1 칸 만화를 그려 공유 플랫폼에 올리고, 친구의 만화에 한 줄 감상을 남겨 보자. — ?? 미래엔: 학생용이라 예시 답안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관찰(전기 전도성 측정기의 불·알람으로 전류 흐름 확인) · 분류(결과 표에서 이온 결합 물질 / 공유 결합 물질로 묶어 ○·× 표시) · 비교(고체 ↔ 수용액, 이온 결합 ↔ 공유 결합) · 의사소통(정리 2 설명, 과학 역량 기르기 일기)</w:t>
            </w:r>
          </w:p>
          <w:p>
            <w:r>
              <w:rPr>
                <w:rFonts w:ascii="맑은 고딕" w:hAnsi="맑은 고딕" w:eastAsia="맑은 고딕"/>
                <w:b w:val="0"/>
                <w:i w:val="0"/>
              </w:rPr>
              <w:t>통합: 자료 해석(○·× 표의 규칙) · 결론 도출(결합 종류에 따라 전기 전도성이 다름) · 모형 사용(그림 Ⅱ-25·26 입자 모형으로 이온의 이동 설명) / 변인 통제: 조작 변인 = 물질의 종류(이온 결합: 염화 나트륨·염화 칼슘 / 공유 결합: 설탕·포도당)와 물질의 상태(고체 ↔ 수용액), 종속 변인 = 전류가 흐르는지 여부(측정기 불·알람), 통제 변인 = 시료 양(약숟가락 한 숟가락), 같은 전기 전도성 측정기, 전극을 증류수로 씻고 말려 사용, 같은 증류수 / 대조: 과정 3 증류수만 측정(녹이는 물 자체가 전류를 흘리지 않음을 확인) — 교과서에 변인 명시 없음, 결합 종류를 미리 알려 준 확인 실험 구조</w:t>
            </w:r>
          </w:p>
          <w:p>
            <w:r>
              <w:rPr>
                <w:rFonts w:ascii="맑은 고딕" w:hAnsi="맑은 고딕" w:eastAsia="맑은 고딕"/>
                <w:b w:val="0"/>
                <w:i w:val="0"/>
              </w:rPr>
              <w:t>교과서 표기: 탐구 기능 ‘관찰, 의사소통’ / 문제 인식 → 과정 → 결과 및 정리 / 스스로 평가(지식·이해, 과정·기능, 가치·태도)</w:t>
            </w:r>
          </w:p>
        </w:tc>
        <w:tc>
          <w:tcPr>
            <w:tcW w:type="dxa" w:w="7200"/>
            <w:tcMar>
              <w:top w:w="22" w:type="dxa"/>
              <w:bottom w:w="22" w:type="dxa"/>
            </w:tcMar>
          </w:tcPr>
          <w:p>
            <w:r>
              <w:rPr>
                <w:rFonts w:ascii="맑은 고딕" w:hAnsi="맑은 고딕" w:eastAsia="맑은 고딕"/>
                <w:b w:val="0"/>
                <w:i w:val="0"/>
              </w:rPr>
              <w:t>기초: 관찰(간이 전기 전도성 측정기의 불·소리) · 비교(고체 ↔ 수용액, 네 물질) · 분류(정리 2에서 결합 종류 쓰기) · 의사소통(정리 2 설명, 창의성 펼치기 만화 공유)</w:t>
            </w:r>
          </w:p>
          <w:p>
            <w:r>
              <w:rPr>
                <w:rFonts w:ascii="맑은 고딕" w:hAnsi="맑은 고딕" w:eastAsia="맑은 고딕"/>
                <w:b w:val="0"/>
                <w:i w:val="0"/>
              </w:rPr>
              <w:t>통합: 자료 해석(○·× 표) · 결론 도출 및 일반화(수용액 전기 전도성 차이 → 결합의 종류) · 모형 사용(그림 Ⅱ-25·26) / 변인 통제: 조작 변인 = 물질의 종류(증류수·설탕 / 황산 구리(Ⅱ)·염화 나트륨)와 상태(고체 ↔ 수용액), 종속 변인 = 전류가 흐르는지 여부, 통제 변인 = 같은 간이 측정기, 시약을 바꿀 때마다 증류수로 씻기, 같은 증류수로 녹이기(시료 양·증류수 양은 교과서에 수치 없음) / 대조: ㉮ 증류수(액체) / 정리 2에서 학생이 결합 종류를 ‘쓰는’ 구조라 결합 종류를 실험 결과에서 판단하게 할지, 미리 알려 줄지 교과서가 정하지 않음</w:t>
            </w:r>
          </w:p>
          <w:p>
            <w:r>
              <w:rPr>
                <w:rFonts w:ascii="맑은 고딕" w:hAnsi="맑은 고딕" w:eastAsia="맑은 고딕"/>
                <w:b w:val="0"/>
                <w:i w:val="0"/>
              </w:rPr>
              <w:t>교과서 표기: 과정·기능 ‘탐구 설계 및 수행’, ‘결론 도출 및 일반화’ / 탐구 능력 · 문제 해결 능력 / 목표 → 과정 → 결과 및 정리 / 스스로 평가하기(지식·이해, 과정·기능, 가치·태도), 탐구 돌아보기 — ‘탐구 설계’ 표기와 달리 과정이 모두 주어져 학생이 설계할 부분은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탐구에서 바꾼 것(조작 변인)은 무엇이고 같게 한 것(통제 변인)은 무엇일까? 과정 3에서 증류수만 따로 측정하는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실험의 목적은 ‘시료가 어떤 결합 물질인지 알아맞히기’일까, ‘결합의 종류와 전하를 띤 입자의 이동을 전기 전도성으로 연결하기’일까? 학생에게 미리 알려 줄 정보(시료의 결합 종류, 측정기의 작동, 증류수·수돗물의 차이)는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어떤 시료가 수용액에서 전류가 흘렀다면 반드시 이온 결합 물질일까? 공유 결합 물질인 염화 수소는 왜 수용액에서 전류가 흐를까(p.71 곁글)?</w:t>
            </w:r>
          </w:p>
          <w:p>
            <w:pPr>
              <w:ind w:left="170" w:hanging="170"/>
            </w:pPr>
            <w:r>
              <w:rPr>
                <w:rFonts w:ascii="맑은 고딕" w:hAnsi="맑은 고딕" w:eastAsia="맑은 고딕"/>
                <w:b/>
                <w:i w:val="0"/>
              </w:rPr>
              <w:t xml:space="preserve">Q. </w:t>
            </w:r>
            <w:r>
              <w:rPr>
                <w:rFonts w:ascii="맑은 고딕" w:hAnsi="맑은 고딕" w:eastAsia="맑은 고딕"/>
                <w:b w:val="0"/>
                <w:i w:val="0"/>
              </w:rPr>
              <w:t>고체 상태에서 전류가 흐르는 흑연은 이온 결합 물질일까? 물에 거의 녹지 않는 탄산 칼슘은 수용액 측정에서 어떤 결과가 나오고, 그 결과로 공유 결합 물질이라고 결론 내려도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염화 나트륨 고체에도 이온이 있는데 왜 전류가 흐르지 않을까? 물에 녹으면 무엇이 달라질까(그림 Ⅱ-25)?</w:t>
            </w:r>
          </w:p>
          <w:p>
            <w:pPr>
              <w:ind w:left="170" w:hanging="170"/>
            </w:pPr>
            <w:r>
              <w:rPr>
                <w:rFonts w:ascii="맑은 고딕" w:hAnsi="맑은 고딕" w:eastAsia="맑은 고딕"/>
                <w:b/>
                <w:i w:val="0"/>
              </w:rPr>
              <w:t xml:space="preserve">Q. </w:t>
            </w:r>
            <w:r>
              <w:rPr>
                <w:rFonts w:ascii="맑은 고딕" w:hAnsi="맑은 고딕" w:eastAsia="맑은 고딕"/>
                <w:b w:val="0"/>
                <w:i w:val="0"/>
              </w:rPr>
              <w:t>측정 물질을 바꿀 때마다 전극을 수돗물이 아닌 증류수로 씻고 말려야 하는 까닭은 무엇일까? 씻지 않으면 설탕 수용액의 결과는 어떻게 될 수 있을까?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탐구의 조작 변인·종속 변인·통제 변인은 무엇일까? ㉮ 증류수를 함께 측정하는 것은 어떤 역할을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정리 2에서 ‘결합이 무엇인지 쓰라’고 할 때, 전기 전도성 결과만으로 결합 종류를 단정할 수 있을까? 수용액에서 전류가 흐르는 공유 결합 물질(염화 수소)이나 고체에서 전류가 흐르는 흑연이 시료라면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 전에 학생에게 네 물질의 결합 종류를 알려 줘야 할까, 숨겨야 할까? 알려 주면 무엇을 확인하는 실험이 되고, 숨기면 어떤 근거가 더 필요할까?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황산 구리(Ⅱ) 수용액은 파란색이다. 색이 있다는 것과 전류가 흐른다는 것은 관련이 있을까? 색으로 결합 종류를 판단할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증류수는 공유 결합 물질인데 왜 전류가 흐르지 않을까? 수돗물로 녹이면 설탕 수용액의 결과가 어떻게 달라질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본문은 공유 결합 물질이 물에 녹아도 ‘대부분’ 이온으로 나눠지지 않는다고 했다. ‘대부분’이라는 말은 무엇을 뜻할까?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시약이 피부나 옷에 묻지 않도록 주의한다. 실험이 끝난 뒤 남은 물질은 지정된 곳에 모아 처리한다(p.70 안전 길잡이)</w:t>
            </w:r>
          </w:p>
          <w:p>
            <w:pPr>
              <w:ind w:left="170" w:hanging="170"/>
            </w:pPr>
            <w:r>
              <w:rPr>
                <w:rFonts w:ascii="맑은 고딕" w:hAnsi="맑은 고딕" w:eastAsia="맑은 고딕"/>
                <w:b w:val="0"/>
                <w:i w:val="0"/>
              </w:rPr>
              <w:t>• 전기 전도성 측정기는 측정하는 물질을 바꿀 때마다 전극을 증류수로 깨끗이 씻어서 사용한다(p.70 활동 길잡이) / 수돗물에는 여러 가지 이온이 녹아 있기 때문에 전류가 흐르므로 측정 물질을 바꿀 때마다 수돗물이 아닌 증류수로 전극을 깨끗이 씻고 말려 사용해야 물질의 전기 전도성을 정확하게 비교할 수 있다(p.70 교사용 탐구 유의점 1)</w:t>
            </w:r>
          </w:p>
          <w:p>
            <w:pPr>
              <w:ind w:left="170" w:hanging="170"/>
            </w:pPr>
            <w:r>
              <w:rPr>
                <w:rFonts w:ascii="맑은 고딕" w:hAnsi="맑은 고딕" w:eastAsia="맑은 고딕"/>
                <w:b w:val="0"/>
                <w:i w:val="0"/>
              </w:rPr>
              <w:t>• 전기 전도성 측정기는 측정 물질에 전류가 흐르면 불이 들어오거나 알람이 울린다는 것을 설명한다(p.70 교사용 탐구 유의점 2)</w:t>
            </w:r>
          </w:p>
          <w:p>
            <w:pPr>
              <w:ind w:left="170" w:hanging="170"/>
            </w:pPr>
            <w:r>
              <w:rPr>
                <w:rFonts w:ascii="맑은 고딕" w:hAnsi="맑은 고딕" w:eastAsia="맑은 고딕"/>
                <w:b w:val="0"/>
                <w:i w:val="0"/>
              </w:rPr>
              <w:t>• 고체 측정 시 전극에 남은 물기·이전 수용액이 묻으면 고체에서도 전류가 흐르는 것처럼 보일 수 있음 — 과정 2(고체)를 과정 4(수용액)보다 먼저 하는 순서를 지키기</w:t>
            </w:r>
          </w:p>
          <w:p>
            <w:pPr>
              <w:ind w:left="170" w:hanging="170"/>
            </w:pPr>
            <w:r>
              <w:rPr>
                <w:rFonts w:ascii="맑은 고딕" w:hAnsi="맑은 고딕" w:eastAsia="맑은 고딕"/>
                <w:b w:val="0"/>
                <w:i w:val="0"/>
              </w:rPr>
              <w:t>• 이온 결합 물질과 공유 결합 물질의 성질은 고체 상태와 수용액에서의 전기 전도성 차이로 한정한다(p.68 교사용 소단원 지도상의 유의점 2)</w:t>
            </w:r>
          </w:p>
          <w:p>
            <w:pPr>
              <w:ind w:left="170" w:hanging="170"/>
            </w:pPr>
            <w:r>
              <w:rPr>
                <w:rFonts w:ascii="맑은 고딕" w:hAnsi="맑은 고딕" w:eastAsia="맑은 고딕"/>
                <w:b w:val="0"/>
                <w:i w:val="0"/>
              </w:rPr>
              <w:t>☐ 6 홈판 첫째 줄 염화 나트륨·염화 칼슘, 둘째 줄 설탕·포도당 한 숟가락씩  ☐ 고체 상태 전류 확인  ☐ 증류수만 측정(대조)  ☐ 증류수 넣어 녹인 뒤 수용액 측정  ☐ 물질 바꿀 때마다 전극을 증류수로 씻고 말리기  ☐ ○·× 표 정리  ☐ 남은 물질 지정된 곳에 처리</w:t>
            </w:r>
          </w:p>
        </w:tc>
        <w:tc>
          <w:tcPr>
            <w:tcW w:type="dxa" w:w="7200"/>
            <w:tcMar>
              <w:top w:w="22" w:type="dxa"/>
              <w:bottom w:w="22" w:type="dxa"/>
            </w:tcMar>
          </w:tcPr>
          <w:p>
            <w:pPr>
              <w:ind w:left="170" w:hanging="170"/>
            </w:pPr>
            <w:r>
              <w:rPr>
                <w:rFonts w:ascii="맑은 고딕" w:hAnsi="맑은 고딕" w:eastAsia="맑은 고딕"/>
                <w:b w:val="0"/>
                <w:i w:val="0"/>
              </w:rPr>
              <w:t>• 반드시 실험복, 보안경, 실험용 고무장갑을 착용한다. 실험을 한 뒤 남은 물질은 선생님의 안내에 따라 정해진 곳에 버린다(p.72 안전, 유해·환경 경고 표지)</w:t>
            </w:r>
          </w:p>
          <w:p>
            <w:pPr>
              <w:ind w:left="170" w:hanging="170"/>
            </w:pPr>
            <w:r>
              <w:rPr>
                <w:rFonts w:ascii="맑은 고딕" w:hAnsi="맑은 고딕" w:eastAsia="맑은 고딕"/>
                <w:b w:val="0"/>
                <w:i w:val="0"/>
              </w:rPr>
              <w:t>• 약숟가락, 유리 막대, 간이 전기 전도성 측정기는 시약을 바꿀 때마다 시약에 닿는 부분을 증류수로 씻어서 사용한다(p.72 말풍선)</w:t>
            </w:r>
          </w:p>
          <w:p>
            <w:pPr>
              <w:ind w:left="170" w:hanging="170"/>
            </w:pPr>
            <w:r>
              <w:rPr>
                <w:rFonts w:ascii="맑은 고딕" w:hAnsi="맑은 고딕" w:eastAsia="맑은 고딕"/>
                <w:b w:val="0"/>
                <w:i w:val="0"/>
              </w:rPr>
              <w:t>• 황산 구리(Ⅱ)는 유해하고 수생 생물에 독성이 있으므로 하수구에 버리지 말고 폐수통에 모은다 — 교과서는 경고 표지만 제시</w:t>
            </w:r>
          </w:p>
          <w:p>
            <w:pPr>
              <w:ind w:left="170" w:hanging="170"/>
            </w:pPr>
            <w:r>
              <w:rPr>
                <w:rFonts w:ascii="맑은 고딕" w:hAnsi="맑은 고딕" w:eastAsia="맑은 고딕"/>
                <w:b w:val="0"/>
                <w:i w:val="0"/>
              </w:rPr>
              <w:t>• 증류수를 스포이트로 조금씩 떨어뜨려 녹이므로 녹지 않은 고체가 남지 않게 유리 막대로 충분히 젓는다(p.72 과정 3) / 시료 양·증류수 양 수치 없음 — 모둠마다 비슷하게 맞추도록 안내</w:t>
            </w:r>
          </w:p>
          <w:p>
            <w:pPr>
              <w:ind w:left="170" w:hanging="170"/>
            </w:pPr>
            <w:r>
              <w:rPr>
                <w:rFonts w:ascii="맑은 고딕" w:hAnsi="맑은 고딕" w:eastAsia="맑은 고딕"/>
                <w:b w:val="0"/>
                <w:i w:val="0"/>
              </w:rPr>
              <w:t>☐ 실험복·보안경·고무장갑 착용  ☐ ㉮~㉱ 증류수·설탕·황산 구리(Ⅱ)·염화 나트륨 넣기  ☐ 고체 상태 측정  ☐ ㉯~㉱ 증류수로 녹이기  ☐ 수용액 측정  ☐ 시약 바꿀 때마다 측정기·유리 막대·약숟가락 증류수로 씻기  ☐ 황산 구리(Ⅱ) 폐액 분리 처리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‘이온 결합 화합물과 공유 결합 화합물의 성질을 비교하는 실험하기’를 탐구 제목으로 사용, 고체 상태와 수용액의 전기 전도성만 비교 → 해설 ‘전기 전도성에 한정’을 그대로 따름. 교사용 소단원 지도상의 유의점 2에 ‘고체 상태와 수용액에서의 전기 전도성 차이로 한정한다’고 명시</w:t>
            </w:r>
          </w:p>
          <w:p>
            <w:r>
              <w:rPr>
                <w:rFonts w:ascii="맑은 고딕" w:hAnsi="맑은 고딕" w:eastAsia="맑은 고딕"/>
                <w:b w:val="0"/>
                <w:i w:val="0"/>
              </w:rPr>
              <w:t>✔ 단원 열기(화성 탐사 생존 키트)에서 산소·물·소금 등을 고르고 결합 종류로 구분하게 하고, 본문 p.69에서 산소·물(공유 결합, 그림 Ⅱ-23)과 염화 나트륨(이온 결합, 그림 Ⅱ-24)을 대비 → 성취기준 ‘인류의 생존에 필수적인 물, 산소, 소금 등이 만들어지는 결합의 차이’ 직접 충족</w:t>
            </w:r>
          </w:p>
          <w:p>
            <w:r>
              <w:rPr>
                <w:rFonts w:ascii="맑은 고딕" w:hAnsi="맑은 고딕" w:eastAsia="맑은 고딕"/>
                <w:b w:val="0"/>
                <w:i w:val="0"/>
              </w:rPr>
              <w:t>✔ 본문 p.71에서 고체(이온이 정전기적 인력으로 결합해 이동 불가) ↔ 수용액(이온이 자유롭게 이동, 양이온 (−)극·음이온 (+)극)을 그림 Ⅱ-25·26 입자 모형으로 설명 → ‘성질과 관련지어 설명’ 충족 / 학생용 곁글에 염화 수소 예외를 제시해 ‘공유 결합 물질은 항상 전류가 흐르지 않는다’는 과잉 일반화를 막음</w:t>
            </w:r>
          </w:p>
          <w:p>
            <w:r>
              <w:rPr>
                <w:rFonts w:ascii="맑은 고딕" w:hAnsi="맑은 고딕" w:eastAsia="맑은 고딕"/>
                <w:b/>
                <w:i w:val="0"/>
              </w:rPr>
              <w:t>△ 시료의 결합 종류를 탐구 전에 표 머리(이온 결합 물질 / 공유 결합 물질)와 도입 문단에서 미리 알려 준 확인 실험 → 정리 2는 ‘차이 설명’으로 정당하지만, 같은 결과로 미지 시료의 결합 종류를 ‘구별하라’고 확장하면 근거가 부족함(염화 수소처럼 수용액에서 전류가 흐르는 공유 결합 물질, 흑연처럼 고체에서 전류가 흐르는 공유 결합 물질, 물에 녹지 않는 이온 결합 물질) — 흑연은 교사용 보충에만 있음</w:t>
            </w:r>
          </w:p>
          <w:p>
            <w:r>
              <w:rPr>
                <w:rFonts w:ascii="맑은 고딕" w:hAnsi="맑은 고딕" w:eastAsia="맑은 고딕"/>
                <w:b/>
                <w:i w:val="0"/>
              </w:rPr>
              <w:t>△ 교사용 보충 ‘공유 결합 물질의 녹는점과 끓는점·공유 결정’(p.71)은 해설의 ‘전기 전도성 한정’을 넘는 내용(학생 지면에는 없음) / 보충 ‘이온 결합 물질의 이름’(MgSO₄)과 이온 결합 물질의 화학식 곁글은 성질이 아닌 명명·화학식 영역 / 단원 열기 지도 길잡이 2 ‘비금속 원소로만 이루어진 물질은 공유 결합 물질’은 염화 암모늄 같은 예외가 있는 경험 규칙</w:t>
            </w:r>
          </w:p>
          <w:p>
            <w:r>
              <w:rPr>
                <w:rFonts w:ascii="맑은 고딕" w:hAnsi="맑은 고딕" w:eastAsia="맑은 고딕"/>
                <w:b/>
                <w:i w:val="0"/>
              </w:rPr>
              <w:t>△ 탐구 기능 ‘관찰, 의사소통’으로 표기해 변인 통제·실험 설계 요소가 약함(변인 명시 없음), 결과가 고정된 확인 실험</w:t>
            </w:r>
          </w:p>
          <w:p>
            <w:r>
              <w:rPr>
                <w:rFonts w:ascii="맑은 고딕" w:hAnsi="맑은 고딕" w:eastAsia="맑은 고딕"/>
                <w:b w:val="0"/>
                <w:i w:val="0"/>
              </w:rPr>
              <w:t>※ 비교: 비상은 이온 결합 물질 2개(염화 나트륨·염화 칼슘)와 공유 결합 물질 2개(설탕·포도당)를 짝 지어 결합 종류를 표에 미리 밝히고, 증류수는 대조로 따로 측정, 교사용 지면에 ‘전기 전도성 한정’ 명시, 학생 곁글에 염화 수소 예외 / 미래엔은 증류수(액체)·설탕·황산 구리(Ⅱ)·염화 나트륨을 결합 종류를 밝히지 않고 측정한 뒤 정리 2에서 ‘결합이 무엇인지 쓰라’고 해 판별 활동에 더 가깝고, 예외(염화 수소·흑연) 언급이 학생 지면에 없음</w:t>
            </w:r>
          </w:p>
          <w:p>
            <w:r>
              <w:rPr>
                <w:rFonts w:ascii="맑은 고딕" w:hAnsi="맑은 고딕" w:eastAsia="맑은 고딕"/>
                <w:b/>
                <w:i w:val="0"/>
              </w:rPr>
              <w:t>△ 교사용 오기(p.69 여백): ‘이온 결합 물질의 예: 에탄올(C₂H₅OH)’ — 에탄올은 공유 결합 물질(같은 쪽 본문도 소독용 에탄올을 공유 결합 물질로 분류). 판서·자료 제작 시 ‘공유 결합 물질의 예’로 바로잡을 것</w:t>
            </w:r>
          </w:p>
          <w:p>
            <w:r>
              <w:rPr>
                <w:rFonts w:ascii="맑은 고딕" w:hAnsi="맑은 고딕" w:eastAsia="맑은 고딕"/>
                <w:b/>
                <w:i w:val="0"/>
              </w:rPr>
              <w:t>△ 단원 열기 예시 답안(p.68) 불일치: 체크된 물질은 산소·질소·물인데 정리 답은 ‘산소와 질소는 공유 결합, 소금은 이온 결합 물질’로 소금을 근거로 씀 → 학생 선택과 무관하게 소금이 들어가도록 안내하거나 답안을 맞출 것</w:t>
            </w:r>
          </w:p>
        </w:tc>
        <w:tc>
          <w:tcPr>
            <w:tcW w:type="dxa" w:w="7200"/>
            <w:tcMar>
              <w:top w:w="22" w:type="dxa"/>
              <w:bottom w:w="22" w:type="dxa"/>
            </w:tcMar>
          </w:tcPr>
          <w:p>
            <w:r>
              <w:rPr>
                <w:rFonts w:ascii="맑은 고딕" w:hAnsi="맑은 고딕" w:eastAsia="맑은 고딕"/>
                <w:b w:val="0"/>
                <w:i w:val="0"/>
              </w:rPr>
              <w:t>✔ 교육과정 탐구 활동 ‘이온 결합 화합물과 공유 결합 화합물의 성질을 비교하는 실험하기’를 탐구 제목으로 사용, 고체와 수용액의 전기 전도성만 비교 → 해설 ‘전기 전도성에 한정’ 범위 안에 머묾(녹는점·끓는점 등 다른 성질 없음)</w:t>
            </w:r>
          </w:p>
          <w:p>
            <w:r>
              <w:rPr>
                <w:rFonts w:ascii="맑은 고딕" w:hAnsi="맑은 고딕" w:eastAsia="맑은 고딕"/>
                <w:b w:val="0"/>
                <w:i w:val="0"/>
              </w:rPr>
              <w:t>✔ 본문 p.73에서 이온 결합 물질(고체: 양이온·음이온이 강하게 결합 → 전류 ×, 수용액: 자유롭게 이동 → 전류 ○)과 공유 결합 물질(물에 녹아도 대부분 이온으로 나눠지지 않음 → 전류 ×)을 그림 Ⅱ-25·26(전구가 켜짐/꺼짐)으로 대비, ‘결합의 종류에 따라 수용액에서 전류가 흐르는 성질이 다르게 나타난다’로 결론 → ‘성질과 관련지어 설명’ 충족</w:t>
            </w:r>
          </w:p>
          <w:p>
            <w:r>
              <w:rPr>
                <w:rFonts w:ascii="맑은 고딕" w:hAnsi="맑은 고딕" w:eastAsia="맑은 고딕"/>
                <w:b w:val="0"/>
                <w:i w:val="0"/>
              </w:rPr>
              <w:t>✔ 증류수를 ㉮에 넣어 대조로 측정하고 곁글 ‘증류수는 이온이 들어 있지 않아서 전류가 흐르지 않는다’로 근거 제시 / 그림 Ⅱ-24에서 탄산 칼슘·수산화 마그네슘·설탕·뷰테인 등 생활 속 이온·공유 결합 물질로 확장</w:t>
            </w:r>
          </w:p>
          <w:p>
            <w:r>
              <w:rPr>
                <w:rFonts w:ascii="맑은 고딕" w:hAnsi="맑은 고딕" w:eastAsia="맑은 고딕"/>
                <w:b/>
                <w:i w:val="0"/>
              </w:rPr>
              <w:t>△ 정리 2 ‘결합이 무엇인지 쓰고’는 사실상 시료의 결합 종류 판별 활동 → 전기 전도성(특히 수용액)만으로 결합 종류를 단정하는 논리의 한계(수용액에서 전류가 흐르는 공유 결합 물질 염화 수소, 고체에서 전류가 흐르는 흑연, 물에 녹지 않는 탄산 칼슘)를 학생 지면 어디에도 제시하지 않음 → ‘대부분’이라는 단어의 의미를 짚고 예외 사례를 보완해야 판별 활동이 정당해짐</w:t>
            </w:r>
          </w:p>
          <w:p>
            <w:r>
              <w:rPr>
                <w:rFonts w:ascii="맑은 고딕" w:hAnsi="맑은 고딕" w:eastAsia="맑은 고딕"/>
                <w:b/>
                <w:i w:val="0"/>
              </w:rPr>
              <w:t>△ ‘탐구 설계 및 수행’으로 표기했으나 과정이 모두 주어져 설계 요소 없음, 변인 명시 없음 / 시료 양·증류수 양 수치 없음 / 성취기준의 ‘물, 산소, 소금’ 연결은 p.71 본문 한 문장뿐이고 탐구 시료에 산소는 없음(물=증류수, 소금=염화 나트륨)</w:t>
            </w:r>
          </w:p>
          <w:p>
            <w:r>
              <w:rPr>
                <w:rFonts w:ascii="맑은 고딕" w:hAnsi="맑은 고딕" w:eastAsia="맑은 고딕"/>
                <w:b/>
                <w:i w:val="0"/>
              </w:rPr>
              <w:t>△ 본문은 공유 결합 물질의 수용액만 말하고 ‘공유 결합 물질 고체’의 전기 전도성은 직접 서술하지 않음(그림 Ⅱ-26에 고체 설탕만 그림) → 결과 표 ‘설탕 고체’ 칸의 근거가 본문에 없음</w:t>
            </w:r>
          </w:p>
          <w:p>
            <w:r>
              <w:rPr>
                <w:rFonts w:ascii="맑은 고딕" w:hAnsi="맑은 고딕" w:eastAsia="맑은 고딕"/>
                <w:b w:val="0"/>
                <w:i w:val="0"/>
              </w:rPr>
              <w:t>※ 비교: 미래엔은 결합 종류를 밝히지 않은 네 시료로 측정 후 결합 종류를 쓰게 해 판별형, 증류수를 시료 표에 포함, 황산 구리(Ⅱ)(색 있는 이온 결합 물질) 사용, 예외 언급 없음 / 비상은 결합 종류를 표에 미리 밝힌 확인형, 이온·공유 결합 물질을 2개씩 짝 지음, 학생 곁글에 염화 수소 예외·교사용에 흑연 예외, 교사용 보충에서 녹는점·끓는점까지 다뤄 해설 범위를 넘는 부분이 있음(교사용 한정). 두 교과서 모두 학생 지면은 ‘전기 전도성 한정’ 안에 있음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82365"/>
                        <wp:docPr id="69" name="Picture 69"/>
                        <wp:cNvGraphicFramePr>
                          <a:graphicFrameLocks noChangeAspect="1"/>
                        </wp:cNvGraphicFramePr>
                        <a:graphic>
                          <a:graphicData uri="http://schemas.openxmlformats.org/drawingml/2006/picture">
                            <pic:pic>
                              <pic:nvPicPr>
                                <pic:cNvPr id="0" name="T204_vb1.jpg"/>
                                <pic:cNvPicPr/>
                              </pic:nvPicPr>
                              <pic:blipFill>
                                <a:blip r:embed="rId77"/>
                                <a:stretch>
                                  <a:fillRect/>
                                </a:stretch>
                              </pic:blipFill>
                              <pic:spPr>
                                <a:xfrm>
                                  <a:off x="0" y="0"/>
                                  <a:ext cx="2106000" cy="1182365"/>
                                </a:xfrm>
                                <a:prstGeom prst="rect"/>
                              </pic:spPr>
                            </pic:pic>
                          </a:graphicData>
                        </a:graphic>
                      </wp:inline>
                    </w:drawing>
                  </w:r>
                </w:p>
                <w:p>
                  <w:pPr>
                    <w:spacing w:after="60"/>
                    <w:jc w:val="center"/>
                  </w:pPr>
                  <w:r>
                    <w:rPr>
                      <w:rFonts w:ascii="맑은 고딕" w:hAnsi="맑은 고딕" w:eastAsia="맑은 고딕"/>
                      <w:b w:val="0"/>
                      <w:i w:val="0"/>
                    </w:rPr>
                    <w:t>p.69 본문(생존에 필수적인 물질, 산소·물의 공유 결합)</w:t>
                  </w:r>
                </w:p>
              </w:tc>
              <w:tc>
                <w:tcPr>
                  <w:tcW w:type="dxa" w:w="3487"/>
                  <w:vAlign w:val="top"/>
                </w:tcPr>
                <w:p>
                  <w:pPr>
                    <w:spacing w:line="240" w:lineRule="auto"/>
                    <w:jc w:val="center"/>
                  </w:pPr>
                  <w:r>
                    <w:drawing>
                      <wp:inline xmlns:a="http://schemas.openxmlformats.org/drawingml/2006/main" xmlns:pic="http://schemas.openxmlformats.org/drawingml/2006/picture">
                        <wp:extent cx="2106000" cy="617195"/>
                        <wp:docPr id="70" name="Picture 70"/>
                        <wp:cNvGraphicFramePr>
                          <a:graphicFrameLocks noChangeAspect="1"/>
                        </wp:cNvGraphicFramePr>
                        <a:graphic>
                          <a:graphicData uri="http://schemas.openxmlformats.org/drawingml/2006/picture">
                            <pic:pic>
                              <pic:nvPicPr>
                                <pic:cNvPr id="0" name="T204_vb2.jpg"/>
                                <pic:cNvPicPr/>
                              </pic:nvPicPr>
                              <pic:blipFill>
                                <a:blip r:embed="rId78"/>
                                <a:stretch>
                                  <a:fillRect/>
                                </a:stretch>
                              </pic:blipFill>
                              <pic:spPr>
                                <a:xfrm>
                                  <a:off x="0" y="0"/>
                                  <a:ext cx="2106000" cy="617195"/>
                                </a:xfrm>
                                <a:prstGeom prst="rect"/>
                              </pic:spPr>
                            </pic:pic>
                          </a:graphicData>
                        </a:graphic>
                      </wp:inline>
                    </w:drawing>
                  </w:r>
                </w:p>
                <w:p>
                  <w:pPr>
                    <w:spacing w:after="60"/>
                    <w:jc w:val="center"/>
                  </w:pPr>
                  <w:r>
                    <w:rPr>
                      <w:rFonts w:ascii="맑은 고딕" w:hAnsi="맑은 고딕" w:eastAsia="맑은 고딕"/>
                      <w:b w:val="0"/>
                      <w:i w:val="0"/>
                    </w:rPr>
                    <w:t>p.69 그림 Ⅱ-23 산소와 물의 분자 모형과 화학식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75232" cy="512064"/>
                        <wp:docPr id="71" name="Picture 71"/>
                        <wp:cNvGraphicFramePr>
                          <a:graphicFrameLocks noChangeAspect="1"/>
                        </wp:cNvGraphicFramePr>
                        <a:graphic>
                          <a:graphicData uri="http://schemas.openxmlformats.org/drawingml/2006/picture">
                            <pic:pic>
                              <pic:nvPicPr>
                                <pic:cNvPr id="0" name="T204_vb3.jpg"/>
                                <pic:cNvPicPr/>
                              </pic:nvPicPr>
                              <pic:blipFill>
                                <a:blip r:embed="rId79"/>
                                <a:stretch>
                                  <a:fillRect/>
                                </a:stretch>
                              </pic:blipFill>
                              <pic:spPr>
                                <a:xfrm>
                                  <a:off x="0" y="0"/>
                                  <a:ext cx="1475232" cy="512064"/>
                                </a:xfrm>
                                <a:prstGeom prst="rect"/>
                              </pic:spPr>
                            </pic:pic>
                          </a:graphicData>
                        </a:graphic>
                      </wp:inline>
                    </w:drawing>
                  </w:r>
                </w:p>
                <w:p>
                  <w:pPr>
                    <w:spacing w:after="60"/>
                    <w:jc w:val="center"/>
                  </w:pPr>
                  <w:r>
                    <w:rPr>
                      <w:rFonts w:ascii="맑은 고딕" w:hAnsi="맑은 고딕" w:eastAsia="맑은 고딕"/>
                      <w:b w:val="0"/>
                      <w:i w:val="0"/>
                    </w:rPr>
                    <w:t>p.69 곁글(화학식)</w:t>
                  </w:r>
                </w:p>
              </w:tc>
              <w:tc>
                <w:tcPr>
                  <w:tcW w:type="dxa" w:w="3487"/>
                  <w:vAlign w:val="top"/>
                </w:tcPr>
                <w:p>
                  <w:pPr>
                    <w:spacing w:line="240" w:lineRule="auto"/>
                    <w:jc w:val="center"/>
                  </w:pPr>
                  <w:r>
                    <w:drawing>
                      <wp:inline xmlns:a="http://schemas.openxmlformats.org/drawingml/2006/main" xmlns:pic="http://schemas.openxmlformats.org/drawingml/2006/picture">
                        <wp:extent cx="2106000" cy="414044"/>
                        <wp:docPr id="72" name="Picture 72"/>
                        <wp:cNvGraphicFramePr>
                          <a:graphicFrameLocks noChangeAspect="1"/>
                        </wp:cNvGraphicFramePr>
                        <a:graphic>
                          <a:graphicData uri="http://schemas.openxmlformats.org/drawingml/2006/picture">
                            <pic:pic>
                              <pic:nvPicPr>
                                <pic:cNvPr id="0" name="T204_vb4.jpg"/>
                                <pic:cNvPicPr/>
                              </pic:nvPicPr>
                              <pic:blipFill>
                                <a:blip r:embed="rId80"/>
                                <a:stretch>
                                  <a:fillRect/>
                                </a:stretch>
                              </pic:blipFill>
                              <pic:spPr>
                                <a:xfrm>
                                  <a:off x="0" y="0"/>
                                  <a:ext cx="2106000" cy="414044"/>
                                </a:xfrm>
                                <a:prstGeom prst="rect"/>
                              </pic:spPr>
                            </pic:pic>
                          </a:graphicData>
                        </a:graphic>
                      </wp:inline>
                    </w:drawing>
                  </w:r>
                </w:p>
                <w:p>
                  <w:pPr>
                    <w:spacing w:after="60"/>
                    <w:jc w:val="center"/>
                  </w:pPr>
                  <w:r>
                    <w:rPr>
                      <w:rFonts w:ascii="맑은 고딕" w:hAnsi="맑은 고딕" w:eastAsia="맑은 고딕"/>
                      <w:b w:val="0"/>
                      <w:i w:val="0"/>
                    </w:rPr>
                    <w:t>p.69 본문(염화 나트륨의 이온 결합, 이온 결합 물질)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554479" cy="1304543"/>
                        <wp:docPr id="73" name="Picture 73"/>
                        <wp:cNvGraphicFramePr>
                          <a:graphicFrameLocks noChangeAspect="1"/>
                        </wp:cNvGraphicFramePr>
                        <a:graphic>
                          <a:graphicData uri="http://schemas.openxmlformats.org/drawingml/2006/picture">
                            <pic:pic>
                              <pic:nvPicPr>
                                <pic:cNvPr id="0" name="T204_vb5.jpg"/>
                                <pic:cNvPicPr/>
                              </pic:nvPicPr>
                              <pic:blipFill>
                                <a:blip r:embed="rId81"/>
                                <a:stretch>
                                  <a:fillRect/>
                                </a:stretch>
                              </pic:blipFill>
                              <pic:spPr>
                                <a:xfrm>
                                  <a:off x="0" y="0"/>
                                  <a:ext cx="1554479" cy="1304543"/>
                                </a:xfrm>
                                <a:prstGeom prst="rect"/>
                              </pic:spPr>
                            </pic:pic>
                          </a:graphicData>
                        </a:graphic>
                      </wp:inline>
                    </w:drawing>
                  </w:r>
                </w:p>
                <w:p>
                  <w:pPr>
                    <w:spacing w:after="60"/>
                    <w:jc w:val="center"/>
                  </w:pPr>
                  <w:r>
                    <w:rPr>
                      <w:rFonts w:ascii="맑은 고딕" w:hAnsi="맑은 고딕" w:eastAsia="맑은 고딕"/>
                      <w:b w:val="0"/>
                      <w:i w:val="0"/>
                    </w:rPr>
                    <w:t>p.69 곁글(이온 결합 물질의 화학식)</w:t>
                  </w:r>
                </w:p>
              </w:tc>
              <w:tc>
                <w:tcPr>
                  <w:tcW w:type="dxa" w:w="3487"/>
                  <w:vAlign w:val="top"/>
                </w:tcPr>
                <w:p>
                  <w:pPr>
                    <w:spacing w:line="240" w:lineRule="auto"/>
                    <w:jc w:val="center"/>
                  </w:pPr>
                  <w:r>
                    <w:drawing>
                      <wp:inline xmlns:a="http://schemas.openxmlformats.org/drawingml/2006/main" xmlns:pic="http://schemas.openxmlformats.org/drawingml/2006/picture">
                        <wp:extent cx="2106000" cy="707964"/>
                        <wp:docPr id="74" name="Picture 74"/>
                        <wp:cNvGraphicFramePr>
                          <a:graphicFrameLocks noChangeAspect="1"/>
                        </wp:cNvGraphicFramePr>
                        <a:graphic>
                          <a:graphicData uri="http://schemas.openxmlformats.org/drawingml/2006/picture">
                            <pic:pic>
                              <pic:nvPicPr>
                                <pic:cNvPr id="0" name="T204_vb6.jpg"/>
                                <pic:cNvPicPr/>
                              </pic:nvPicPr>
                              <pic:blipFill>
                                <a:blip r:embed="rId82"/>
                                <a:stretch>
                                  <a:fillRect/>
                                </a:stretch>
                              </pic:blipFill>
                              <pic:spPr>
                                <a:xfrm>
                                  <a:off x="0" y="0"/>
                                  <a:ext cx="2106000" cy="707964"/>
                                </a:xfrm>
                                <a:prstGeom prst="rect"/>
                              </pic:spPr>
                            </pic:pic>
                          </a:graphicData>
                        </a:graphic>
                      </wp:inline>
                    </w:drawing>
                  </w:r>
                </w:p>
                <w:p>
                  <w:pPr>
                    <w:spacing w:after="60"/>
                    <w:jc w:val="center"/>
                  </w:pPr>
                  <w:r>
                    <w:rPr>
                      <w:rFonts w:ascii="맑은 고딕" w:hAnsi="맑은 고딕" w:eastAsia="맑은 고딕"/>
                      <w:b w:val="0"/>
                      <w:i w:val="0"/>
                    </w:rPr>
                    <w:t>p.69 그림 Ⅱ-24 염화 나트륨의 모형과 화학식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96799"/>
                        <wp:docPr id="75" name="Picture 75"/>
                        <wp:cNvGraphicFramePr>
                          <a:graphicFrameLocks noChangeAspect="1"/>
                        </wp:cNvGraphicFramePr>
                        <a:graphic>
                          <a:graphicData uri="http://schemas.openxmlformats.org/drawingml/2006/picture">
                            <pic:pic>
                              <pic:nvPicPr>
                                <pic:cNvPr id="0" name="T204_vb7.jpg"/>
                                <pic:cNvPicPr/>
                              </pic:nvPicPr>
                              <pic:blipFill>
                                <a:blip r:embed="rId83"/>
                                <a:stretch>
                                  <a:fillRect/>
                                </a:stretch>
                              </pic:blipFill>
                              <pic:spPr>
                                <a:xfrm>
                                  <a:off x="0" y="0"/>
                                  <a:ext cx="2106000" cy="196799"/>
                                </a:xfrm>
                                <a:prstGeom prst="rect"/>
                              </pic:spPr>
                            </pic:pic>
                          </a:graphicData>
                        </a:graphic>
                      </wp:inline>
                    </w:drawing>
                  </w:r>
                </w:p>
                <w:p>
                  <w:pPr>
                    <w:spacing w:after="60"/>
                    <w:jc w:val="center"/>
                  </w:pPr>
                  <w:r>
                    <w:rPr>
                      <w:rFonts w:ascii="맑은 고딕" w:hAnsi="맑은 고딕" w:eastAsia="맑은 고딕"/>
                      <w:b w:val="0"/>
                      <w:i w:val="0"/>
                    </w:rPr>
                    <w:t>p.69 본문(에탄올·염화 칼슘 예)</w:t>
                  </w:r>
                </w:p>
              </w:tc>
              <w:tc>
                <w:tcPr>
                  <w:tcW w:type="dxa" w:w="3487"/>
                  <w:vAlign w:val="top"/>
                </w:tcPr>
                <w:p>
                  <w:pPr>
                    <w:spacing w:line="240" w:lineRule="auto"/>
                    <w:jc w:val="center"/>
                  </w:pPr>
                  <w:r>
                    <w:drawing>
                      <wp:inline xmlns:a="http://schemas.openxmlformats.org/drawingml/2006/main" xmlns:pic="http://schemas.openxmlformats.org/drawingml/2006/picture">
                        <wp:extent cx="2106000" cy="598032"/>
                        <wp:docPr id="76" name="Picture 76"/>
                        <wp:cNvGraphicFramePr>
                          <a:graphicFrameLocks noChangeAspect="1"/>
                        </wp:cNvGraphicFramePr>
                        <a:graphic>
                          <a:graphicData uri="http://schemas.openxmlformats.org/drawingml/2006/picture">
                            <pic:pic>
                              <pic:nvPicPr>
                                <pic:cNvPr id="0" name="T204_vb8.jpg"/>
                                <pic:cNvPicPr/>
                              </pic:nvPicPr>
                              <pic:blipFill>
                                <a:blip r:embed="rId84"/>
                                <a:stretch>
                                  <a:fillRect/>
                                </a:stretch>
                              </pic:blipFill>
                              <pic:spPr>
                                <a:xfrm>
                                  <a:off x="0" y="0"/>
                                  <a:ext cx="2106000" cy="598032"/>
                                </a:xfrm>
                                <a:prstGeom prst="rect"/>
                              </pic:spPr>
                            </pic:pic>
                          </a:graphicData>
                        </a:graphic>
                      </wp:inline>
                    </w:drawing>
                  </w:r>
                </w:p>
                <w:p>
                  <w:pPr>
                    <w:spacing w:after="60"/>
                    <w:jc w:val="center"/>
                  </w:pPr>
                  <w:r>
                    <w:rPr>
                      <w:rFonts w:ascii="맑은 고딕" w:hAnsi="맑은 고딕" w:eastAsia="맑은 고딕"/>
                      <w:b w:val="0"/>
                      <w:i w:val="0"/>
                    </w:rPr>
                    <w:t>p.70 본문 도입(화학 결합의 종류에 따른 물질의 성질)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52058"/>
                        <wp:docPr id="77" name="Picture 77"/>
                        <wp:cNvGraphicFramePr>
                          <a:graphicFrameLocks noChangeAspect="1"/>
                        </wp:cNvGraphicFramePr>
                        <a:graphic>
                          <a:graphicData uri="http://schemas.openxmlformats.org/drawingml/2006/picture">
                            <pic:pic>
                              <pic:nvPicPr>
                                <pic:cNvPr id="0" name="T204_vb9.jpg"/>
                                <pic:cNvPicPr/>
                              </pic:nvPicPr>
                              <pic:blipFill>
                                <a:blip r:embed="rId85"/>
                                <a:stretch>
                                  <a:fillRect/>
                                </a:stretch>
                              </pic:blipFill>
                              <pic:spPr>
                                <a:xfrm>
                                  <a:off x="0" y="0"/>
                                  <a:ext cx="2106000" cy="552058"/>
                                </a:xfrm>
                                <a:prstGeom prst="rect"/>
                              </pic:spPr>
                            </pic:pic>
                          </a:graphicData>
                        </a:graphic>
                      </wp:inline>
                    </w:drawing>
                  </w:r>
                </w:p>
                <w:p>
                  <w:pPr>
                    <w:spacing w:after="60"/>
                    <w:jc w:val="center"/>
                  </w:pPr>
                  <w:r>
                    <w:rPr>
                      <w:rFonts w:ascii="맑은 고딕" w:hAnsi="맑은 고딕" w:eastAsia="맑은 고딕"/>
                      <w:b w:val="0"/>
                      <w:i w:val="0"/>
                    </w:rPr>
                    <w:t>p.71 본문 결론(이온 결합 물질의 전기 전도성)</w:t>
                  </w:r>
                </w:p>
              </w:tc>
              <w:tc>
                <w:tcPr>
                  <w:tcW w:type="dxa" w:w="3487"/>
                  <w:vAlign w:val="top"/>
                </w:tcPr>
                <w:p>
                  <w:pPr>
                    <w:spacing w:line="240" w:lineRule="auto"/>
                    <w:jc w:val="center"/>
                  </w:pPr>
                  <w:r>
                    <w:drawing>
                      <wp:inline xmlns:a="http://schemas.openxmlformats.org/drawingml/2006/main" xmlns:pic="http://schemas.openxmlformats.org/drawingml/2006/picture">
                        <wp:extent cx="1493519" cy="853439"/>
                        <wp:docPr id="78" name="Picture 78"/>
                        <wp:cNvGraphicFramePr>
                          <a:graphicFrameLocks noChangeAspect="1"/>
                        </wp:cNvGraphicFramePr>
                        <a:graphic>
                          <a:graphicData uri="http://schemas.openxmlformats.org/drawingml/2006/picture">
                            <pic:pic>
                              <pic:nvPicPr>
                                <pic:cNvPr id="0" name="T204_vb10.jpg"/>
                                <pic:cNvPicPr/>
                              </pic:nvPicPr>
                              <pic:blipFill>
                                <a:blip r:embed="rId86"/>
                                <a:stretch>
                                  <a:fillRect/>
                                </a:stretch>
                              </pic:blipFill>
                              <pic:spPr>
                                <a:xfrm>
                                  <a:off x="0" y="0"/>
                                  <a:ext cx="1493519" cy="853439"/>
                                </a:xfrm>
                                <a:prstGeom prst="rect"/>
                              </pic:spPr>
                            </pic:pic>
                          </a:graphicData>
                        </a:graphic>
                      </wp:inline>
                    </w:drawing>
                  </w:r>
                </w:p>
                <w:p>
                  <w:pPr>
                    <w:spacing w:after="60"/>
                    <w:jc w:val="center"/>
                  </w:pPr>
                  <w:r>
                    <w:rPr>
                      <w:rFonts w:ascii="맑은 고딕" w:hAnsi="맑은 고딕" w:eastAsia="맑은 고딕"/>
                      <w:b w:val="0"/>
                      <w:i w:val="0"/>
                    </w:rPr>
                    <w:t>p.71 곁글(이온 결합 물질의 용해)</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91690"/>
                        <wp:docPr id="79" name="Picture 79"/>
                        <wp:cNvGraphicFramePr>
                          <a:graphicFrameLocks noChangeAspect="1"/>
                        </wp:cNvGraphicFramePr>
                        <a:graphic>
                          <a:graphicData uri="http://schemas.openxmlformats.org/drawingml/2006/picture">
                            <pic:pic>
                              <pic:nvPicPr>
                                <pic:cNvPr id="0" name="T204_vb11.jpg"/>
                                <pic:cNvPicPr/>
                              </pic:nvPicPr>
                              <pic:blipFill>
                                <a:blip r:embed="rId87"/>
                                <a:stretch>
                                  <a:fillRect/>
                                </a:stretch>
                              </pic:blipFill>
                              <pic:spPr>
                                <a:xfrm>
                                  <a:off x="0" y="0"/>
                                  <a:ext cx="2106000" cy="791690"/>
                                </a:xfrm>
                                <a:prstGeom prst="rect"/>
                              </pic:spPr>
                            </pic:pic>
                          </a:graphicData>
                        </a:graphic>
                      </wp:inline>
                    </w:drawing>
                  </w:r>
                </w:p>
                <w:p>
                  <w:pPr>
                    <w:spacing w:after="60"/>
                    <w:jc w:val="center"/>
                  </w:pPr>
                  <w:r>
                    <w:rPr>
                      <w:rFonts w:ascii="맑은 고딕" w:hAnsi="맑은 고딕" w:eastAsia="맑은 고딕"/>
                      <w:b w:val="0"/>
                      <w:i w:val="0"/>
                    </w:rPr>
                    <w:t>p.71 그림 Ⅱ-25 염화 나트륨 수용액의 전기 전도성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429379"/>
                        <wp:docPr id="80" name="Picture 80"/>
                        <wp:cNvGraphicFramePr>
                          <a:graphicFrameLocks noChangeAspect="1"/>
                        </wp:cNvGraphicFramePr>
                        <a:graphic>
                          <a:graphicData uri="http://schemas.openxmlformats.org/drawingml/2006/picture">
                            <pic:pic>
                              <pic:nvPicPr>
                                <pic:cNvPr id="0" name="T204_vb12.jpg"/>
                                <pic:cNvPicPr/>
                              </pic:nvPicPr>
                              <pic:blipFill>
                                <a:blip r:embed="rId88"/>
                                <a:stretch>
                                  <a:fillRect/>
                                </a:stretch>
                              </pic:blipFill>
                              <pic:spPr>
                                <a:xfrm>
                                  <a:off x="0" y="0"/>
                                  <a:ext cx="2106000" cy="429379"/>
                                </a:xfrm>
                                <a:prstGeom prst="rect"/>
                              </pic:spPr>
                            </pic:pic>
                          </a:graphicData>
                        </a:graphic>
                      </wp:inline>
                    </w:drawing>
                  </w:r>
                </w:p>
                <w:p>
                  <w:pPr>
                    <w:spacing w:after="60"/>
                    <w:jc w:val="center"/>
                  </w:pPr>
                  <w:r>
                    <w:rPr>
                      <w:rFonts w:ascii="맑은 고딕" w:hAnsi="맑은 고딕" w:eastAsia="맑은 고딕"/>
                      <w:b w:val="0"/>
                      <w:i w:val="0"/>
                    </w:rPr>
                    <w:t>p.71 본문 결론(공유 결합 물질의 전기 전도성)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93519" cy="1188719"/>
                        <wp:docPr id="81" name="Picture 81"/>
                        <wp:cNvGraphicFramePr>
                          <a:graphicFrameLocks noChangeAspect="1"/>
                        </wp:cNvGraphicFramePr>
                        <a:graphic>
                          <a:graphicData uri="http://schemas.openxmlformats.org/drawingml/2006/picture">
                            <pic:pic>
                              <pic:nvPicPr>
                                <pic:cNvPr id="0" name="T204_vb13.jpg"/>
                                <pic:cNvPicPr/>
                              </pic:nvPicPr>
                              <pic:blipFill>
                                <a:blip r:embed="rId89"/>
                                <a:stretch>
                                  <a:fillRect/>
                                </a:stretch>
                              </pic:blipFill>
                              <pic:spPr>
                                <a:xfrm>
                                  <a:off x="0" y="0"/>
                                  <a:ext cx="1493519" cy="1188719"/>
                                </a:xfrm>
                                <a:prstGeom prst="rect"/>
                              </pic:spPr>
                            </pic:pic>
                          </a:graphicData>
                        </a:graphic>
                      </wp:inline>
                    </w:drawing>
                  </w:r>
                </w:p>
                <w:p>
                  <w:pPr>
                    <w:spacing w:after="60"/>
                    <w:jc w:val="center"/>
                  </w:pPr>
                  <w:r>
                    <w:rPr>
                      <w:rFonts w:ascii="맑은 고딕" w:hAnsi="맑은 고딕" w:eastAsia="맑은 고딕"/>
                      <w:b w:val="0"/>
                      <w:i w:val="0"/>
                    </w:rPr>
                    <w:t>p.71 곁글(공유 결합 물질의 전기 전도성 — 염화 수소 예외)</w:t>
                  </w:r>
                </w:p>
              </w:tc>
              <w:tc>
                <w:tcPr>
                  <w:tcW w:type="dxa" w:w="3487"/>
                  <w:vAlign w:val="top"/>
                </w:tcPr>
                <w:p>
                  <w:pPr>
                    <w:spacing w:line="240" w:lineRule="auto"/>
                    <w:jc w:val="center"/>
                  </w:pPr>
                  <w:r>
                    <w:drawing>
                      <wp:inline xmlns:a="http://schemas.openxmlformats.org/drawingml/2006/main" xmlns:pic="http://schemas.openxmlformats.org/drawingml/2006/picture">
                        <wp:extent cx="2106000" cy="781342"/>
                        <wp:docPr id="82" name="Picture 82"/>
                        <wp:cNvGraphicFramePr>
                          <a:graphicFrameLocks noChangeAspect="1"/>
                        </wp:cNvGraphicFramePr>
                        <a:graphic>
                          <a:graphicData uri="http://schemas.openxmlformats.org/drawingml/2006/picture">
                            <pic:pic>
                              <pic:nvPicPr>
                                <pic:cNvPr id="0" name="T204_vb14.jpg"/>
                                <pic:cNvPicPr/>
                              </pic:nvPicPr>
                              <pic:blipFill>
                                <a:blip r:embed="rId90"/>
                                <a:stretch>
                                  <a:fillRect/>
                                </a:stretch>
                              </pic:blipFill>
                              <pic:spPr>
                                <a:xfrm>
                                  <a:off x="0" y="0"/>
                                  <a:ext cx="2106000" cy="781342"/>
                                </a:xfrm>
                                <a:prstGeom prst="rect"/>
                              </pic:spPr>
                            </pic:pic>
                          </a:graphicData>
                        </a:graphic>
                      </wp:inline>
                    </w:drawing>
                  </w:r>
                </w:p>
                <w:p>
                  <w:pPr>
                    <w:spacing w:after="60"/>
                    <w:jc w:val="center"/>
                  </w:pPr>
                  <w:r>
                    <w:rPr>
                      <w:rFonts w:ascii="맑은 고딕" w:hAnsi="맑은 고딕" w:eastAsia="맑은 고딕"/>
                      <w:b w:val="0"/>
                      <w:i w:val="0"/>
                    </w:rPr>
                    <w:t>p.71 그림 Ⅱ-26 설탕 수용액의 전기 전도성</w:t>
                  </w:r>
                </w:p>
              </w:tc>
            </w:tr>
          </w:tbl>
          <w:p/>
          <w:p>
            <w:r>
              <w:rPr>
                <w:rFonts w:ascii="맑은 고딕" w:hAnsi="맑은 고딕" w:eastAsia="맑은 고딕"/>
                <w:b w:val="0"/>
                <w:i/>
              </w:rPr>
              <w:t>p.69 그림 Ⅱ-23·24, p.71 본문 일부에 교사용 표시선(밑줄·연결선)이 남아 있음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20030"/>
                        <wp:docPr id="83" name="Picture 83"/>
                        <wp:cNvGraphicFramePr>
                          <a:graphicFrameLocks noChangeAspect="1"/>
                        </wp:cNvGraphicFramePr>
                        <a:graphic>
                          <a:graphicData uri="http://schemas.openxmlformats.org/drawingml/2006/picture">
                            <pic:pic>
                              <pic:nvPicPr>
                                <pic:cNvPr id="0" name="T204_mb1.jpg"/>
                                <pic:cNvPicPr/>
                              </pic:nvPicPr>
                              <pic:blipFill>
                                <a:blip r:embed="rId91"/>
                                <a:stretch>
                                  <a:fillRect/>
                                </a:stretch>
                              </pic:blipFill>
                              <pic:spPr>
                                <a:xfrm>
                                  <a:off x="0" y="0"/>
                                  <a:ext cx="2106000" cy="220030"/>
                                </a:xfrm>
                                <a:prstGeom prst="rect"/>
                              </pic:spPr>
                            </pic:pic>
                          </a:graphicData>
                        </a:graphic>
                      </wp:inline>
                    </w:drawing>
                  </w:r>
                </w:p>
                <w:p>
                  <w:pPr>
                    <w:spacing w:after="60"/>
                    <w:jc w:val="center"/>
                  </w:pPr>
                  <w:r>
                    <w:rPr>
                      <w:rFonts w:ascii="맑은 고딕" w:hAnsi="맑은 고딕" w:eastAsia="맑은 고딕"/>
                      <w:b w:val="0"/>
                      <w:i w:val="0"/>
                    </w:rPr>
                    <w:t>p.71 본문(이온 결합이나 공유 결합으로 이루어진 물질)</w:t>
                  </w:r>
                </w:p>
              </w:tc>
              <w:tc>
                <w:tcPr>
                  <w:tcW w:type="dxa" w:w="3487"/>
                  <w:vAlign w:val="top"/>
                </w:tcPr>
                <w:p>
                  <w:pPr>
                    <w:spacing w:line="240" w:lineRule="auto"/>
                    <w:jc w:val="center"/>
                  </w:pPr>
                  <w:r>
                    <w:drawing>
                      <wp:inline xmlns:a="http://schemas.openxmlformats.org/drawingml/2006/main" xmlns:pic="http://schemas.openxmlformats.org/drawingml/2006/picture">
                        <wp:extent cx="2106000" cy="788266"/>
                        <wp:docPr id="84" name="Picture 84"/>
                        <wp:cNvGraphicFramePr>
                          <a:graphicFrameLocks noChangeAspect="1"/>
                        </wp:cNvGraphicFramePr>
                        <a:graphic>
                          <a:graphicData uri="http://schemas.openxmlformats.org/drawingml/2006/picture">
                            <pic:pic>
                              <pic:nvPicPr>
                                <pic:cNvPr id="0" name="T204_mb2.jpg"/>
                                <pic:cNvPicPr/>
                              </pic:nvPicPr>
                              <pic:blipFill>
                                <a:blip r:embed="rId92"/>
                                <a:stretch>
                                  <a:fillRect/>
                                </a:stretch>
                              </pic:blipFill>
                              <pic:spPr>
                                <a:xfrm>
                                  <a:off x="0" y="0"/>
                                  <a:ext cx="2106000" cy="788266"/>
                                </a:xfrm>
                                <a:prstGeom prst="rect"/>
                              </pic:spPr>
                            </pic:pic>
                          </a:graphicData>
                        </a:graphic>
                      </wp:inline>
                    </w:drawing>
                  </w:r>
                </w:p>
                <w:p>
                  <w:pPr>
                    <w:spacing w:after="60"/>
                    <w:jc w:val="center"/>
                  </w:pPr>
                  <w:r>
                    <w:rPr>
                      <w:rFonts w:ascii="맑은 고딕" w:hAnsi="맑은 고딕" w:eastAsia="맑은 고딕"/>
                      <w:b w:val="0"/>
                      <w:i w:val="0"/>
                    </w:rPr>
                    <w:t>p.71 그림 Ⅱ-24 이온 결합 또는 공유 결합으로 이루어진 물질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44305"/>
                        <wp:docPr id="85" name="Picture 85"/>
                        <wp:cNvGraphicFramePr>
                          <a:graphicFrameLocks noChangeAspect="1"/>
                        </wp:cNvGraphicFramePr>
                        <a:graphic>
                          <a:graphicData uri="http://schemas.openxmlformats.org/drawingml/2006/picture">
                            <pic:pic>
                              <pic:nvPicPr>
                                <pic:cNvPr id="0" name="T204_mb3.jpg"/>
                                <pic:cNvPicPr/>
                              </pic:nvPicPr>
                              <pic:blipFill>
                                <a:blip r:embed="rId93"/>
                                <a:stretch>
                                  <a:fillRect/>
                                </a:stretch>
                              </pic:blipFill>
                              <pic:spPr>
                                <a:xfrm>
                                  <a:off x="0" y="0"/>
                                  <a:ext cx="2106000" cy="344305"/>
                                </a:xfrm>
                                <a:prstGeom prst="rect"/>
                              </pic:spPr>
                            </pic:pic>
                          </a:graphicData>
                        </a:graphic>
                      </wp:inline>
                    </w:drawing>
                  </w:r>
                </w:p>
                <w:p>
                  <w:pPr>
                    <w:spacing w:after="60"/>
                    <w:jc w:val="center"/>
                  </w:pPr>
                  <w:r>
                    <w:rPr>
                      <w:rFonts w:ascii="맑은 고딕" w:hAnsi="맑은 고딕" w:eastAsia="맑은 고딕"/>
                      <w:b w:val="0"/>
                      <w:i w:val="0"/>
                    </w:rPr>
                    <w:t>p.72 본문 도입(이온 결합 물질과 공유 결합 물질의 성질)</w:t>
                  </w:r>
                </w:p>
              </w:tc>
              <w:tc>
                <w:tcPr>
                  <w:tcW w:type="dxa" w:w="3487"/>
                  <w:vAlign w:val="top"/>
                </w:tcPr>
                <w:p>
                  <w:pPr>
                    <w:spacing w:line="240" w:lineRule="auto"/>
                    <w:jc w:val="center"/>
                  </w:pPr>
                  <w:r>
                    <w:drawing>
                      <wp:inline xmlns:a="http://schemas.openxmlformats.org/drawingml/2006/main" xmlns:pic="http://schemas.openxmlformats.org/drawingml/2006/picture">
                        <wp:extent cx="1341119" cy="469392"/>
                        <wp:docPr id="86" name="Picture 86"/>
                        <wp:cNvGraphicFramePr>
                          <a:graphicFrameLocks noChangeAspect="1"/>
                        </wp:cNvGraphicFramePr>
                        <a:graphic>
                          <a:graphicData uri="http://schemas.openxmlformats.org/drawingml/2006/picture">
                            <pic:pic>
                              <pic:nvPicPr>
                                <pic:cNvPr id="0" name="T204_mb4.jpg"/>
                                <pic:cNvPicPr/>
                              </pic:nvPicPr>
                              <pic:blipFill>
                                <a:blip r:embed="rId94"/>
                                <a:stretch>
                                  <a:fillRect/>
                                </a:stretch>
                              </pic:blipFill>
                              <pic:spPr>
                                <a:xfrm>
                                  <a:off x="0" y="0"/>
                                  <a:ext cx="1341119" cy="469392"/>
                                </a:xfrm>
                                <a:prstGeom prst="rect"/>
                              </pic:spPr>
                            </pic:pic>
                          </a:graphicData>
                        </a:graphic>
                      </wp:inline>
                    </w:drawing>
                  </w:r>
                </w:p>
                <w:p>
                  <w:pPr>
                    <w:spacing w:after="60"/>
                    <w:jc w:val="center"/>
                  </w:pPr>
                  <w:r>
                    <w:rPr>
                      <w:rFonts w:ascii="맑은 고딕" w:hAnsi="맑은 고딕" w:eastAsia="맑은 고딕"/>
                      <w:b w:val="0"/>
                      <w:i w:val="0"/>
                    </w:rPr>
                    <w:t>p.72 곁글(간이 전기 전도성 측정기)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82936"/>
                        <wp:docPr id="87" name="Picture 87"/>
                        <wp:cNvGraphicFramePr>
                          <a:graphicFrameLocks noChangeAspect="1"/>
                        </wp:cNvGraphicFramePr>
                        <a:graphic>
                          <a:graphicData uri="http://schemas.openxmlformats.org/drawingml/2006/picture">
                            <pic:pic>
                              <pic:nvPicPr>
                                <pic:cNvPr id="0" name="T204_mb5.jpg"/>
                                <pic:cNvPicPr/>
                              </pic:nvPicPr>
                              <pic:blipFill>
                                <a:blip r:embed="rId95"/>
                                <a:stretch>
                                  <a:fillRect/>
                                </a:stretch>
                              </pic:blipFill>
                              <pic:spPr>
                                <a:xfrm>
                                  <a:off x="0" y="0"/>
                                  <a:ext cx="2106000" cy="582936"/>
                                </a:xfrm>
                                <a:prstGeom prst="rect"/>
                              </pic:spPr>
                            </pic:pic>
                          </a:graphicData>
                        </a:graphic>
                      </wp:inline>
                    </w:drawing>
                  </w:r>
                </w:p>
                <w:p>
                  <w:pPr>
                    <w:spacing w:after="60"/>
                    <w:jc w:val="center"/>
                  </w:pPr>
                  <w:r>
                    <w:rPr>
                      <w:rFonts w:ascii="맑은 고딕" w:hAnsi="맑은 고딕" w:eastAsia="맑은 고딕"/>
                      <w:b w:val="0"/>
                      <w:i w:val="0"/>
                    </w:rPr>
                    <w:t>p.73 본문 결론(이온 결합 물질의 전기 전도성)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1051954"/>
                        <wp:docPr id="88" name="Picture 88"/>
                        <wp:cNvGraphicFramePr>
                          <a:graphicFrameLocks noChangeAspect="1"/>
                        </wp:cNvGraphicFramePr>
                        <a:graphic>
                          <a:graphicData uri="http://schemas.openxmlformats.org/drawingml/2006/picture">
                            <pic:pic>
                              <pic:nvPicPr>
                                <pic:cNvPr id="0" name="T204_mb6.jpg"/>
                                <pic:cNvPicPr/>
                              </pic:nvPicPr>
                              <pic:blipFill>
                                <a:blip r:embed="rId96"/>
                                <a:stretch>
                                  <a:fillRect/>
                                </a:stretch>
                              </pic:blipFill>
                              <pic:spPr>
                                <a:xfrm>
                                  <a:off x="0" y="0"/>
                                  <a:ext cx="2106000" cy="1051954"/>
                                </a:xfrm>
                                <a:prstGeom prst="rect"/>
                              </pic:spPr>
                            </pic:pic>
                          </a:graphicData>
                        </a:graphic>
                      </wp:inline>
                    </w:drawing>
                  </w:r>
                </w:p>
                <w:p>
                  <w:pPr>
                    <w:spacing w:after="60"/>
                    <w:jc w:val="center"/>
                  </w:pPr>
                  <w:r>
                    <w:rPr>
                      <w:rFonts w:ascii="맑은 고딕" w:hAnsi="맑은 고딕" w:eastAsia="맑은 고딕"/>
                      <w:b w:val="0"/>
                      <w:i w:val="0"/>
                    </w:rPr>
                    <w:t>p.73 그림 Ⅱ-25 이온 결합 물질의 성질</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77208"/>
                        <wp:docPr id="89" name="Picture 89"/>
                        <wp:cNvGraphicFramePr>
                          <a:graphicFrameLocks noChangeAspect="1"/>
                        </wp:cNvGraphicFramePr>
                        <a:graphic>
                          <a:graphicData uri="http://schemas.openxmlformats.org/drawingml/2006/picture">
                            <pic:pic>
                              <pic:nvPicPr>
                                <pic:cNvPr id="0" name="T204_mb7.jpg"/>
                                <pic:cNvPicPr/>
                              </pic:nvPicPr>
                              <pic:blipFill>
                                <a:blip r:embed="rId97"/>
                                <a:stretch>
                                  <a:fillRect/>
                                </a:stretch>
                              </pic:blipFill>
                              <pic:spPr>
                                <a:xfrm>
                                  <a:off x="0" y="0"/>
                                  <a:ext cx="2106000" cy="477208"/>
                                </a:xfrm>
                                <a:prstGeom prst="rect"/>
                              </pic:spPr>
                            </pic:pic>
                          </a:graphicData>
                        </a:graphic>
                      </wp:inline>
                    </w:drawing>
                  </w:r>
                </w:p>
                <w:p>
                  <w:pPr>
                    <w:spacing w:after="60"/>
                    <w:jc w:val="center"/>
                  </w:pPr>
                  <w:r>
                    <w:rPr>
                      <w:rFonts w:ascii="맑은 고딕" w:hAnsi="맑은 고딕" w:eastAsia="맑은 고딕"/>
                      <w:b w:val="0"/>
                      <w:i w:val="0"/>
                    </w:rPr>
                    <w:t>p.73 본문 결론(공유 결합 물질, 결합의 종류에 따른 성질)</w:t>
                  </w:r>
                </w:p>
              </w:tc>
              <w:tc>
                <w:tcPr>
                  <w:tcW w:type="dxa" w:w="3487"/>
                  <w:vAlign w:val="top"/>
                </w:tcPr>
                <w:p>
                  <w:pPr>
                    <w:spacing w:line="240" w:lineRule="auto"/>
                    <w:jc w:val="center"/>
                  </w:pPr>
                  <w:r>
                    <w:drawing>
                      <wp:inline xmlns:a="http://schemas.openxmlformats.org/drawingml/2006/main" xmlns:pic="http://schemas.openxmlformats.org/drawingml/2006/picture">
                        <wp:extent cx="1383792" cy="487680"/>
                        <wp:docPr id="90" name="Picture 90"/>
                        <wp:cNvGraphicFramePr>
                          <a:graphicFrameLocks noChangeAspect="1"/>
                        </wp:cNvGraphicFramePr>
                        <a:graphic>
                          <a:graphicData uri="http://schemas.openxmlformats.org/drawingml/2006/picture">
                            <pic:pic>
                              <pic:nvPicPr>
                                <pic:cNvPr id="0" name="T204_mb8.jpg"/>
                                <pic:cNvPicPr/>
                              </pic:nvPicPr>
                              <pic:blipFill>
                                <a:blip r:embed="rId98"/>
                                <a:stretch>
                                  <a:fillRect/>
                                </a:stretch>
                              </pic:blipFill>
                              <pic:spPr>
                                <a:xfrm>
                                  <a:off x="0" y="0"/>
                                  <a:ext cx="1383792" cy="487680"/>
                                </a:xfrm>
                                <a:prstGeom prst="rect"/>
                              </pic:spPr>
                            </pic:pic>
                          </a:graphicData>
                        </a:graphic>
                      </wp:inline>
                    </w:drawing>
                  </w:r>
                </w:p>
                <w:p>
                  <w:pPr>
                    <w:spacing w:after="60"/>
                    <w:jc w:val="center"/>
                  </w:pPr>
                  <w:r>
                    <w:rPr>
                      <w:rFonts w:ascii="맑은 고딕" w:hAnsi="맑은 고딕" w:eastAsia="맑은 고딕"/>
                      <w:b w:val="0"/>
                      <w:i w:val="0"/>
                    </w:rPr>
                    <w:t>p.73 곁글(증류수의 전기 전도성)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79342"/>
                        <wp:docPr id="91" name="Picture 91"/>
                        <wp:cNvGraphicFramePr>
                          <a:graphicFrameLocks noChangeAspect="1"/>
                        </wp:cNvGraphicFramePr>
                        <a:graphic>
                          <a:graphicData uri="http://schemas.openxmlformats.org/drawingml/2006/picture">
                            <pic:pic>
                              <pic:nvPicPr>
                                <pic:cNvPr id="0" name="T204_mb9.jpg"/>
                                <pic:cNvPicPr/>
                              </pic:nvPicPr>
                              <pic:blipFill>
                                <a:blip r:embed="rId99"/>
                                <a:stretch>
                                  <a:fillRect/>
                                </a:stretch>
                              </pic:blipFill>
                              <pic:spPr>
                                <a:xfrm>
                                  <a:off x="0" y="0"/>
                                  <a:ext cx="2106000" cy="979342"/>
                                </a:xfrm>
                                <a:prstGeom prst="rect"/>
                              </pic:spPr>
                            </pic:pic>
                          </a:graphicData>
                        </a:graphic>
                      </wp:inline>
                    </w:drawing>
                  </w:r>
                </w:p>
                <w:p>
                  <w:pPr>
                    <w:spacing w:after="60"/>
                    <w:jc w:val="center"/>
                  </w:pPr>
                  <w:r>
                    <w:rPr>
                      <w:rFonts w:ascii="맑은 고딕" w:hAnsi="맑은 고딕" w:eastAsia="맑은 고딕"/>
                      <w:b w:val="0"/>
                      <w:i w:val="0"/>
                    </w:rPr>
                    <w:t>p.73 그림 Ⅱ-26 공유 결합 물질의 성질</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산소는 산소 원자 2 개, 물은 산소 원자 1 개와 수소 원자 2 개가 공유 결합하여 생성 → 공유 결합 물질, 일정한 수의 원자가 공유 결합하여 독립적인 분자를 이룸(p.69). 염화 나트륨은 나트륨 이온과 염화 이온이 1:1의 개수비로 이온 결합 → 이온 결합 물질, 양이온과 음이온이 교대로 반복하여 규칙적인 모양의 입체 구조(p.69). 이온 결합 물질은 고체 상태에서 양이온과 음이온이 정전기적 인력으로 결합하고 있어 이온들이 이동할 수 없으므로 전류가 흐르지 않지만, 물에 녹으면 양이온과 음이온으로 나누어져 자유롭게 이동하므로 수용액에 전원을 연결하면 양이온은 (−)극, 음이온은 (+)극 쪽으로 이동하여 전류가 흐른다. 공유 결합 물질은 고체 상태에서 전기적으로 중성인 분자로 이루어져 전류가 흐르지 않고, 대부분 물에 녹아도 분자로 존재하므로 수용액에서도 전류가 흐르지 않는다(p.71). 예외: 염화 수소는 공유 결합 물질이지만 물에 녹아 수소 이온과 염화 이온으로 나누어지므로 수용액에서 전류가 흐른다(p.71 곁글)</w:t>
            </w:r>
          </w:p>
          <w:p>
            <w:r>
              <w:rPr>
                <w:rFonts w:ascii="맑은 고딕" w:hAnsi="맑은 고딕" w:eastAsia="맑은 고딕"/>
                <w:b w:val="0"/>
                <w:i w:val="0"/>
              </w:rPr>
              <w:t>표현 특징(비상): ‘정전기적 인력으로 결합’, ‘전기적으로 중성인 분자’로 고체의 전도성을 입자 수준에서 설명, 공유 결합 물질의 고체·수용액을 모두 서술, 그림 Ⅱ-25·26은 ‘전기 전도성’ 제목에 전극만 그림(전구 없음), 염화 수소 예외를 학생 곁글로 명시 / 미래엔은 ‘강하게 결합’, 공유 결합 물질은 수용액만 서술하고 ‘대부분’으로 예외 가능성만 암시, 그림 제목을 ‘이온 결합 물질의 성질’, ‘공유 결합 물질의 성질’로 하고 전구가 켜짐/꺼짐으로 시각화</w:t>
            </w:r>
          </w:p>
        </w:tc>
        <w:tc>
          <w:tcPr>
            <w:tcW w:type="dxa" w:w="7200"/>
            <w:tcMar>
              <w:top w:w="22" w:type="dxa"/>
              <w:bottom w:w="22" w:type="dxa"/>
            </w:tcMar>
          </w:tcPr>
          <w:p>
            <w:r>
              <w:rPr>
                <w:rFonts w:ascii="맑은 고딕" w:hAnsi="맑은 고딕" w:eastAsia="맑은 고딕"/>
                <w:b w:val="0"/>
                <w:i w:val="0"/>
              </w:rPr>
              <w:t>이온 결합 물질은 고체 상태에서 양이온과 음이온이 강하게 결합하고 있으므로 전류가 흐르지 않는다. 물에 녹으면 양이온과 음이온으로 나뉘어 자유롭게 이동할 수 있어, 수용액에 전원을 연결하면 양이온은 (−)극 쪽으로, 음이온은 (+)극 쪽으로 이동하면서 전류가 흐른다(p.73, 그림 Ⅱ-25). 공유 결합 물질은 물에 녹아도 대부분 이온으로 나눠지지 않으므로 수용액에 전원을 연결해도 전류가 흐르지 않는다(그림 Ⅱ-26). 이처럼 물질을 이루는 결합의 종류에 따라 수용액에서 전류가 흐르는 성질이 다르게 나타난다(p.73). 증류수는 이온이 들어 있지 않아서 전류가 흐르지 않는다(곁글)</w:t>
            </w:r>
          </w:p>
          <w:p>
            <w:r>
              <w:rPr>
                <w:rFonts w:ascii="맑은 고딕" w:hAnsi="맑은 고딕" w:eastAsia="맑은 고딕"/>
                <w:b w:val="0"/>
                <w:i w:val="0"/>
              </w:rPr>
              <w:t>표현 특징(미래엔): 결론을 ‘수용액에서 전류가 흐르는 성질’로 좁혀 서술(비상은 고체·수용액 모두), 공유 결합 물질 고체의 전도성은 본문에 서술 없음, 예외 물질 언급 없이 ‘대부분’만 사용, 증류수 곁글로 대조의 근거 제시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이온 결합 물질은 이온으로 되어 있으니 고체 상태에서도 전류가 흐른다 → 고체에서는 양이온과 음이온이 정전기적 인력으로(강하게) 결합해 이동할 수 없어 전류가 흐르지 않고, 물에 녹아 이온이 자유롭게 이동할 때 전류가 흐름 (비상 p.70 과정 2, p.71 본문 / 미래엔 p.73 본문·그림 Ⅱ-25)</w:t>
            </w:r>
          </w:p>
          <w:p>
            <w:pPr>
              <w:ind w:left="170" w:hanging="170"/>
            </w:pPr>
            <w:r>
              <w:rPr>
                <w:rFonts w:ascii="맑은 고딕" w:hAnsi="맑은 고딕" w:eastAsia="맑은 고딕"/>
                <w:b w:val="0"/>
                <w:i w:val="0"/>
              </w:rPr>
              <w:t>• 수용액에서 전류가 흐르면 이온 결합 물질, 흐르지 않으면 공유 결합 물질이다(전기 전도성만으로 결합 종류를 단정) → 염화 수소는 공유 결합 물질이지만 물에 녹아 이온으로 나누어져 전류가 흐르고, 물에 거의 녹지 않는 이온 결합 물질은 수용액 측정으로 판별이 어려움 (비상 p.71 곁글 ‘공유 결합 물질의 전기 전도성’ / 미래엔 p.73 ‘대부분’, 예외 언급 없음)</w:t>
            </w:r>
          </w:p>
          <w:p>
            <w:pPr>
              <w:ind w:left="170" w:hanging="170"/>
            </w:pPr>
            <w:r>
              <w:rPr>
                <w:rFonts w:ascii="맑은 고딕" w:hAnsi="맑은 고딕" w:eastAsia="맑은 고딕"/>
                <w:b w:val="0"/>
                <w:i w:val="0"/>
              </w:rPr>
              <w:t>• 공유 결합 물질은 어떤 상태에서도 절대 전류가 흐르지 않는다 → 탄소 원자로만 이루어진 흑연·그래핀·탄소 나노 튜브는 고체 상태에서도 전자가 이동해 전류가 흐름 (비상 p.71 교사용 지면 / 미래엔 언급 없음)</w:t>
            </w:r>
          </w:p>
        </w:tc>
        <w:tc>
          <w:tcPr>
            <w:tcW w:type="dxa" w:w="7200"/>
            <w:tcMar>
              <w:top w:w="22" w:type="dxa"/>
              <w:bottom w:w="22" w:type="dxa"/>
            </w:tcMar>
          </w:tcPr>
          <w:p>
            <w:pPr>
              <w:ind w:left="170" w:hanging="170"/>
            </w:pPr>
            <w:r>
              <w:rPr>
                <w:rFonts w:ascii="맑은 고딕" w:hAnsi="맑은 고딕" w:eastAsia="맑은 고딕"/>
                <w:b w:val="0"/>
                <w:i w:val="0"/>
              </w:rPr>
              <w:t>• 물은 전기가 잘 통한다 → 증류수는 이온이 들어 있지 않아 전류가 흐르지 않으며, 수돗물이 전류를 흘리는 것은 녹아 있는 여러 가지 이온 때문 (비상 p.70 과정 3·교사용 탐구 유의점 1 / 미래엔 p.73 곁글 ‘증류수의 전기 전도성’)</w:t>
            </w:r>
          </w:p>
          <w:p>
            <w:pPr>
              <w:ind w:left="170" w:hanging="170"/>
            </w:pPr>
            <w:r>
              <w:rPr>
                <w:rFonts w:ascii="맑은 고딕" w:hAnsi="맑은 고딕" w:eastAsia="맑은 고딕"/>
                <w:b w:val="0"/>
                <w:i w:val="0"/>
              </w:rPr>
              <w:t>• 수용액에서 전류가 흐르는 것은 전자가 물속을 이동하기 때문이다 → 이온 결합 물질의 수용액에서는 양이온이 (−)극, 음이온이 (+)극 쪽으로 이동하며 전류가 흐름(금속은 전자 이동) (비상 p.71 본문·교사용 보충 ‘전류와 전하’ / 미래엔 p.73 본문·스스로 확인하기 1)</w:t>
            </w:r>
          </w:p>
          <w:p>
            <w:pPr>
              <w:ind w:left="170" w:hanging="170"/>
            </w:pPr>
            <w:r>
              <w:rPr>
                <w:rFonts w:ascii="맑은 고딕" w:hAnsi="맑은 고딕" w:eastAsia="맑은 고딕"/>
                <w:b w:val="0"/>
                <w:i w:val="0"/>
              </w:rPr>
              <w:t>• 염화 나트륨도 ‘염화 나트륨 분자’로 이루어져 있다 → 공유 결합 물질 중 산소·물처럼 독립적인 분자를 이루는 것만 분자라 하며, 이온 결합 물질은 양이온과 음이온이 연속적으로 반복된 입체 구조이므로 ‘한 분자’라는 표현이 적절하지 않음 (비상 p.69 교사용 오개념 지도·그림 Ⅱ-24 / 미래엔 p.73 그림 Ⅱ-25 고체 염화 나트륨 모형)</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생존에 필수적인 물질(비상: 화성 탐사 생존 키트에 산소·물·소금 등 고르기 → 산소·물은 공유 결합, 염화 나트륨은 이온 결합, 그림 Ⅱ-23·24 / 미래엔: 소금·물·산소 외 생활 속 이온·공유 결합 물질, 그림 Ⅱ-24)로 결합의 차이 인식 → ② 문제 인식: 겉보기로 구분이 안 되는 소금과 설탕(비상)·이온 결합 물질과 공유 결합 물질(미래엔)의 성질은 어떻게 다를까? → ③ 6 홈판에서 고체 상태 전기 전도성 측정 → 증류수 대조 → 증류수에 녹여 수용액 전기 전도성 측정(비상: 염화 나트륨·염화 칼슘 / 설탕·포도당, 미래엔: 증류수·설탕·황산 구리(Ⅱ)·염화 나트륨), 전극을 증류수로 씻으며 ○·× 표 정리 → ④ 입자 모형(그림 Ⅱ-25·26)으로 설명: 이온 결합 물질은 수용액에서 양이온·음이온이 이동해 전류가 흐르고, 공유 결합 물질은 (대부분) 분자로 존재해 전류가 흐르지 않음 → ⑤ 예외와 한계 검토(염화 수소 수용액, 흑연 고체, 물에 녹지 않는 이온 결합 물질) 후 생활 속 물질에 적용(비상 과학 역량 기르기 일기 / 미래엔 창의성 펼치기 만화)   ※ 교과서별 보완: 공통으로 변인(물질의 종류·상태 / 전류 흐름 / 시료 양·세척)을 명시하고, 결합 종류를 미리 알려 주는 ‘확인’인지 결과로 판단하는 ‘판별’인지 실험 목적을 분명히 할 것 / 비상은 흑연 예외를 학생 활동으로 옮기기 / 미래엔은 정리 2 판별 활동 뒤에 염화 수소·흑연 등 예외를 보태 ‘전기 전도성만으로 단정할 수 없음’을 짚기</w:t>
            </w:r>
          </w:p>
        </w:tc>
      </w:tr>
    </w:tbl>
    <w:sectPr w:rsidR="00FC693F" w:rsidRPr="0006063C" w:rsidSect="00034616">
      <w:pgSz w:w="16838" w:h="11906" w:orient="landscape"/>
      <w:pgMar w:top="454" w:right="680" w:bottom="454" w:left="68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맑은 고딕" w:hAnsi="맑은 고딕" w:eastAsia="맑은 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