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FDE45" w14:textId="77777777" w:rsidR="00F627DB" w:rsidRDefault="00000000" w:rsidP="002A327F">
      <w:pPr>
        <w:pStyle w:val="Title"/>
        <w:spacing w:after="240"/>
      </w:pPr>
      <w:r>
        <w:t>The Value and Evolution of Governance</w:t>
      </w:r>
    </w:p>
    <w:p w14:paraId="70D39A9B" w14:textId="77777777" w:rsidR="00F627DB" w:rsidRDefault="00000000" w:rsidP="002A327F">
      <w:pPr>
        <w:pStyle w:val="Author"/>
        <w:spacing w:after="0"/>
      </w:pPr>
      <w:r>
        <w:t>Honggao Cao</w:t>
      </w:r>
    </w:p>
    <w:p w14:paraId="00DF186F" w14:textId="77777777" w:rsidR="00F627DB" w:rsidRDefault="00000000">
      <w:pPr>
        <w:pStyle w:val="Date1"/>
      </w:pPr>
      <w:r>
        <w:t>October 2026</w:t>
      </w:r>
    </w:p>
    <w:p w14:paraId="09B91200" w14:textId="77777777" w:rsidR="00F627DB" w:rsidRDefault="00000000">
      <w:pPr>
        <w:pStyle w:val="Heading1"/>
      </w:pPr>
      <w:r>
        <w:t>Abstract</w:t>
      </w:r>
    </w:p>
    <w:p w14:paraId="1BF43BE8" w14:textId="77777777" w:rsidR="00F627DB" w:rsidRDefault="00000000">
      <w:pPr>
        <w:pStyle w:val="FirstParagraph"/>
      </w:pPr>
      <w:r>
        <w:t>Governance arrangements are often evaluated through their founding principles, formal rules, or observed outcomes. Yet the same formal arrangement may operate differently over time, and similar arrangements may respond differently to changing circumstances. An electoral victory authorizes governing authority under specified rules without establishing how effectively that authority will be exercised. Institutions may persist despite widespread dissatisfaction, while arrangements that once served a society well may gradually lose their capacity to recognize or correct emerging problems.</w:t>
      </w:r>
    </w:p>
    <w:p w14:paraId="03AAF137" w14:textId="77777777" w:rsidR="00F627DB" w:rsidRDefault="00000000">
      <w:pPr>
        <w:pStyle w:val="BodyText"/>
      </w:pPr>
      <w:r>
        <w:t>This essay examines these puzzles by distinguishing the instrumental and procedural value of governance, formal authority from its effective exercise, and institutional persistence from institutional adequacy. We consider how governing arrangements shape the incentives and information available to their participants, how those arrangements evolve, and why recognized inadequacies may remain uncorrected. Particular attention is given to the institutional conditions supporting self-correction, including information access, opportunities to challenge authority, and the continuity of essential governing functions during institutional change.</w:t>
      </w:r>
    </w:p>
    <w:p w14:paraId="4FF4701B" w14:textId="77777777" w:rsidR="00F627DB" w:rsidRDefault="00000000">
      <w:pPr>
        <w:pStyle w:val="BodyText"/>
      </w:pPr>
      <w:r>
        <w:t>Drawing on established research and stylized examples, we examine how different mechanisms can produce similar governance phenomena and what observations may help distinguish them. This approach connects the evaluation of governance with the explanation of institutional behavior: understanding why an arrangement operates or persists as it does helps identify which changes might improve it, while a judgment of improvement requires a stated evaluative standard.</w:t>
      </w:r>
    </w:p>
    <w:p w14:paraId="6F7DA8F0" w14:textId="77777777" w:rsidR="00F627DB" w:rsidRDefault="00000000">
      <w:pPr>
        <w:pStyle w:val="BodyText"/>
      </w:pPr>
      <w:r>
        <w:rPr>
          <w:b/>
        </w:rPr>
        <w:t>Keywords:</w:t>
      </w:r>
      <w:r>
        <w:t xml:space="preserve"> Governance; institutional value; governing effectiveness; collective decisions; institutional evolution; persistence; self-correction.</w:t>
      </w:r>
    </w:p>
    <w:p w14:paraId="42C701B6" w14:textId="77777777" w:rsidR="00F627DB" w:rsidRDefault="00000000">
      <w:pPr>
        <w:pStyle w:val="Heading1"/>
      </w:pPr>
      <w:r>
        <w:t>1. From Individual Affairs to Collective Governance</w:t>
      </w:r>
    </w:p>
    <w:p w14:paraId="67998D23" w14:textId="77777777" w:rsidR="00F627DB" w:rsidRDefault="00000000">
      <w:pPr>
        <w:pStyle w:val="FirstParagraph"/>
      </w:pPr>
      <w:r>
        <w:t>Imagine a society consisting of one individual. This person makes decisions, manages personal affairs, and pursues happiness or other valued outcomes. There is no need to elect representatives or establish collective voting rules to reconcile the interests of multiple people. The decision-maker and the person affected by those decisions are the same.</w:t>
      </w:r>
    </w:p>
    <w:p w14:paraId="08C878BF" w14:textId="77777777" w:rsidR="00F627DB" w:rsidRDefault="00000000">
      <w:pPr>
        <w:pStyle w:val="BodyText"/>
      </w:pPr>
      <w:r>
        <w:t>Now introduce a second individual.</w:t>
      </w:r>
    </w:p>
    <w:p w14:paraId="0DCCE2A0" w14:textId="77777777" w:rsidR="00F627DB" w:rsidRDefault="00000000">
      <w:pPr>
        <w:pStyle w:val="BodyText"/>
      </w:pPr>
      <w:r>
        <w:t>The two may cooperate, exchange goods, share knowledge, and accomplish things neither could achieve independently. Their decisions may also affect one another. One person's use of a shared resource can reduce its availability to the other. They may disagree about how to allocate the resource, which activities should take priority, or how the benefits and costs of cooperation should be distributed.</w:t>
      </w:r>
    </w:p>
    <w:p w14:paraId="081EC030" w14:textId="77777777" w:rsidR="00F627DB" w:rsidRDefault="00000000">
      <w:pPr>
        <w:pStyle w:val="BodyText"/>
      </w:pPr>
      <w:r>
        <w:t xml:space="preserve">The society-of-one experiment isolates a change in the decision problem. Once individual actions affect others, coordinating those actions may require arrangements that neither person can establish unilaterally. </w:t>
      </w:r>
      <w:r>
        <w:lastRenderedPageBreak/>
        <w:t>In actual societies, people are born into relationships of dependence and cooperation; the experiment helps identify the collective decision problem within those relationships.</w:t>
      </w:r>
    </w:p>
    <w:p w14:paraId="1EBF9D6C" w14:textId="77777777" w:rsidR="00F627DB" w:rsidRDefault="00000000">
      <w:pPr>
        <w:pStyle w:val="BodyText"/>
      </w:pPr>
      <w:r>
        <w:t>Such arrangements need not involve formal government. People can negotiate agreements, develop conventions, recognize rights, or organize voluntary cooperation. Elinor Ostrom's research demonstrated that communities can establish arrangements for governing shared resources, including rules for monitoring and resolving disputes, without relying exclusively on centralized government or private ownership [1].</w:t>
      </w:r>
    </w:p>
    <w:p w14:paraId="3807039D" w14:textId="77777777" w:rsidR="00F627DB" w:rsidRDefault="00000000">
      <w:pPr>
        <w:pStyle w:val="BodyText"/>
      </w:pPr>
      <w:r>
        <w:t>As participation expands, however, coordination can become more difficult. Individuals have different preferences, uneven access to information, and conflicting interests. Some collective decisions require commitments that cannot readily be obtained or enforced through individual agreements alone.</w:t>
      </w:r>
    </w:p>
    <w:p w14:paraId="00226D8A" w14:textId="77777777" w:rsidR="00F627DB" w:rsidRDefault="00000000">
      <w:pPr>
        <w:pStyle w:val="BodyText"/>
      </w:pPr>
      <w:r>
        <w:t xml:space="preserve">We use </w:t>
      </w:r>
      <w:r>
        <w:rPr>
          <w:i/>
        </w:rPr>
        <w:t>governance</w:t>
      </w:r>
      <w:r>
        <w:t xml:space="preserve"> to describe the arrangements through which collective affairs are organized. These arrangements determine who may make particular decisions, how authority is established, what limits apply, and how disputes or failures may be addressed.</w:t>
      </w:r>
    </w:p>
    <w:p w14:paraId="43D0EFE5" w14:textId="77777777" w:rsidR="00F627DB" w:rsidRDefault="00000000">
      <w:pPr>
        <w:pStyle w:val="BodyText"/>
      </w:pPr>
      <w:r>
        <w:t>The need for governance therefore introduces another question beyond how individuals can coordinate their activities: who may make decisions affecting others, under what conditions, and with what means of accountability?</w:t>
      </w:r>
    </w:p>
    <w:p w14:paraId="418FF6D7" w14:textId="77777777" w:rsidR="00F627DB" w:rsidRDefault="00000000">
      <w:pPr>
        <w:pStyle w:val="BodyText"/>
      </w:pPr>
      <w:r>
        <w:t>Different arrangements answer this question differently. Authority may be exercised by elected representatives, appointed administrators, community organizations, professional bodies, or combinations of institutions. The existence of a collective problem gives us a reason to establish governing arrangements, but leaves open how authority should be allocated. An arrangement that addresses the problem successfully at one time may also encounter different circumstances and incentives later. We therefore need to examine both what makes governance valuable and how its operation may change.</w:t>
      </w:r>
    </w:p>
    <w:p w14:paraId="4AFD6561" w14:textId="77777777" w:rsidR="00F627DB" w:rsidRDefault="00000000">
      <w:pPr>
        <w:pStyle w:val="Heading1"/>
      </w:pPr>
      <w:r>
        <w:t>2. The Value of Governance</w:t>
      </w:r>
    </w:p>
    <w:p w14:paraId="76271AD1" w14:textId="77777777" w:rsidR="00F627DB" w:rsidRDefault="00000000">
      <w:pPr>
        <w:pStyle w:val="FirstParagraph"/>
      </w:pPr>
      <w:r>
        <w:t>Governance matters partly because of what it enables people to accomplish.</w:t>
      </w:r>
    </w:p>
    <w:p w14:paraId="553CC94C" w14:textId="77777777" w:rsidR="00F627DB" w:rsidRDefault="00000000">
      <w:pPr>
        <w:pStyle w:val="BodyText"/>
      </w:pPr>
      <w:r>
        <w:t>People value security, economic opportunities, public services, reliable infrastructure, health, and other conditions that influence their lives. The levels of these outcomes matter, as do their distributions across society.</w:t>
      </w:r>
    </w:p>
    <w:p w14:paraId="18034EBD" w14:textId="77777777" w:rsidR="00F627DB" w:rsidRDefault="00000000">
      <w:pPr>
        <w:pStyle w:val="BodyText"/>
      </w:pPr>
      <w:r>
        <w:t>An arrangement may contribute to these outcomes by organizing collective decisions, mobilizing resources, and implementing policies. But the ability to make decisions should not be confused with the ability to implement them, and successful implementation should not be confused with achieving desirable objectives.</w:t>
      </w:r>
    </w:p>
    <w:p w14:paraId="51F0723D" w14:textId="77777777" w:rsidR="00F627DB" w:rsidRDefault="00000000">
      <w:pPr>
        <w:pStyle w:val="BodyText"/>
      </w:pPr>
      <w:r>
        <w:t>Consider a community facing a severe water shortage.</w:t>
      </w:r>
    </w:p>
    <w:p w14:paraId="105B763D" w14:textId="77777777" w:rsidR="00F627DB" w:rsidRDefault="00000000">
      <w:pPr>
        <w:pStyle w:val="BodyText"/>
      </w:pPr>
      <w:r>
        <w:t>Its governing council may represent a wide range of interests but lack the authority to adopt an emergency allocation without prolonged agreement among competing groups. A decision may arrive too late to prevent serious harm.</w:t>
      </w:r>
    </w:p>
    <w:p w14:paraId="1FD3C11A" w14:textId="77777777" w:rsidR="00F627DB" w:rsidRDefault="00000000">
      <w:pPr>
        <w:pStyle w:val="BodyText"/>
      </w:pPr>
      <w:r>
        <w:t>Another community may authorize an administrator to impose an allocation promptly. The administrator may implement the decision successfully, yet distribute the burdens inequitably or prevent affected residents from challenging errors.</w:t>
      </w:r>
    </w:p>
    <w:p w14:paraId="19A3CC1A" w14:textId="77777777" w:rsidR="00F627DB" w:rsidRDefault="00000000">
      <w:pPr>
        <w:pStyle w:val="BodyText"/>
      </w:pPr>
      <w:r>
        <w:lastRenderedPageBreak/>
        <w:t>An alternative might combine temporary emergency authority with disclosure requirements, a defined expiration date, and subsequent review. Whether that arrangement performs better depends on its resources, information, implementation capabilities, and social circumstances.</w:t>
      </w:r>
    </w:p>
    <w:p w14:paraId="3BD9CA20" w14:textId="77777777" w:rsidR="00F627DB" w:rsidRDefault="00000000">
      <w:pPr>
        <w:pStyle w:val="BodyText"/>
      </w:pPr>
      <w:r>
        <w:t>The water-shortage examples separate several questions that decisiveness or representation alone cannot answer. Can the institution make a decision in time? Can it implement that decision? Does the decision achieve the specified objective, at what cost, and with what distribution of benefits and burdens? We must also ask whether the objective itself is desirable.</w:t>
      </w:r>
    </w:p>
    <w:p w14:paraId="2D2C0ECF" w14:textId="77777777" w:rsidR="00F627DB" w:rsidRDefault="00000000">
      <w:pPr>
        <w:pStyle w:val="BodyText"/>
      </w:pPr>
      <w:r>
        <w:t>The administrator's allocation raises a further question about residents' ability to challenge authority. Individuals may value participation, political equality, autonomy, and procedural fairness independently of the outcomes those procedures produce. Some protections may therefore remain important even when their immediate contribution to measurable outcomes is uncertain.</w:t>
      </w:r>
    </w:p>
    <w:p w14:paraId="0E40E53B" w14:textId="77777777" w:rsidR="00F627DB" w:rsidRDefault="00000000">
      <w:pPr>
        <w:pStyle w:val="BodyText"/>
      </w:pPr>
      <w:r>
        <w:t>We distinguish these two sources of governance value. Instrumental value concerns the contribution of governance to social outcomes, including effectiveness, efficiency, the distribution of benefits and burdens, and the costs of governing. Independent procedural value concerns how authority is established, exercised, constrained, and challenged, apart from the consequences those procedures produce.</w:t>
      </w:r>
    </w:p>
    <w:p w14:paraId="6AA6CD97" w14:textId="77777777" w:rsidR="00F627DB" w:rsidRDefault="00000000">
      <w:pPr>
        <w:pStyle w:val="BodyText"/>
      </w:pPr>
      <w:r>
        <w:t>These sources may interact or conflict. A procedure that improves decision quality may generate instrumental benefits as well as possess independent value. The same benefit should not be counted twice. Some procedural requirements may instead be regarded as constraints that an acceptable governance arrangement must satisfy, rather than benefits available for unrestricted trade-offs.</w:t>
      </w:r>
    </w:p>
    <w:p w14:paraId="1C2A0CCC" w14:textId="77777777" w:rsidR="00F627DB" w:rsidRDefault="00000000">
      <w:pPr>
        <w:pStyle w:val="BodyText"/>
      </w:pPr>
      <w:r>
        <w:t>The distinction between instrumental and non-instrumental justifications is familiar in democratic theory [2]. It is useful, however, when examining governance arrangements generally, not only those relying primarily on electoral procedures.</w:t>
      </w:r>
    </w:p>
    <w:p w14:paraId="1439BA04" w14:textId="77777777" w:rsidR="00F627DB" w:rsidRDefault="00000000">
      <w:pPr>
        <w:pStyle w:val="BodyText"/>
      </w:pPr>
      <w:r>
        <w:t>Evaluating an arrangement requires us to consider both sources of value under a stated standard. Good procedures do not guarantee desirable outcomes, while favorable outcomes do not necessarily justify the procedures that produced them. People may disagree about which outcomes matter, how their distribution should be evaluated, and which procedural commitments are essential. The distinction helps make those disagreements explicit without settling them in advance.</w:t>
      </w:r>
    </w:p>
    <w:p w14:paraId="05A1DF02" w14:textId="77777777" w:rsidR="00F627DB" w:rsidRDefault="00000000">
      <w:pPr>
        <w:pStyle w:val="BodyText"/>
      </w:pPr>
      <w:r>
        <w:t>Applying a chosen standard also requires examining how the arrangement operates over time. Formal rules may remain unchanged while control over information, appointments, and implementation shifts. We therefore distinguish institutional design—the formal and informal rules, decision rights, operating institutions, and accountability mechanisms—from operating condition: the practical distribution of authority, information, capabilities, and organizational influence at a particular time.</w:t>
      </w:r>
    </w:p>
    <w:p w14:paraId="2DF50201" w14:textId="77777777" w:rsidR="00F627DB" w:rsidRDefault="00000000">
      <w:pPr>
        <w:pStyle w:val="BodyText"/>
      </w:pPr>
      <w:r>
        <w:t>Governance value depends on how the arrangement operates, the conditions it encounters, the period over which it is evaluated, and the consequences of its subsequent development. Evaluating a possible reform also requires considering whether it can be implemented, its transition costs, and applicable procedural constraints. Founding principles or performance at one moment provide only part of that account.</w:t>
      </w:r>
    </w:p>
    <w:p w14:paraId="2B5AB5A2" w14:textId="77777777" w:rsidR="00F627DB" w:rsidRDefault="00000000">
      <w:pPr>
        <w:pStyle w:val="BodyText"/>
      </w:pPr>
      <w:r>
        <w:t>To examine the relationship between design and operation, we begin with a familiar procedure for establishing authority: an election. Its rules determine who is authorized to govern, while the surrounding institutional arrangement shapes what the winner can subsequently do.</w:t>
      </w:r>
    </w:p>
    <w:p w14:paraId="51F6D673" w14:textId="77777777" w:rsidR="00F627DB" w:rsidRDefault="00000000">
      <w:pPr>
        <w:pStyle w:val="Heading1"/>
      </w:pPr>
      <w:r>
        <w:lastRenderedPageBreak/>
        <w:t>3. Collective Decisions and the Exercise of Authority</w:t>
      </w:r>
    </w:p>
    <w:p w14:paraId="058DE860" w14:textId="77777777" w:rsidR="00F627DB" w:rsidRDefault="00000000">
      <w:pPr>
        <w:pStyle w:val="FirstParagraph"/>
      </w:pPr>
      <w:r>
        <w:t>Consider a community holding an election between two governing alternatives.</w:t>
      </w:r>
    </w:p>
    <w:p w14:paraId="30186240" w14:textId="77777777" w:rsidR="00F627DB" w:rsidRDefault="00000000">
      <w:pPr>
        <w:pStyle w:val="BodyText"/>
      </w:pPr>
      <w:r>
        <w:t>Alternative A receives 50.1% of the vote, while B receives 49.9%.</w:t>
      </w:r>
    </w:p>
    <w:p w14:paraId="327DEDA5" w14:textId="77777777" w:rsidR="00F627DB" w:rsidRDefault="00000000">
      <w:pPr>
        <w:pStyle w:val="BodyText"/>
      </w:pPr>
      <w:r>
        <w:t>Under simple majority rule, A wins. The arithmetic establishes the authorized result under that rule. It leaves separate questions about the value of A's policies, the strength of the electorate's preference, and A's capabilities to govern effectively. Kenneth May's analysis characterizes simple majority decision through specified procedural properties [3]; those properties concern the decision rule rather than the quality of every decision it authorizes.</w:t>
      </w:r>
    </w:p>
    <w:p w14:paraId="241295DB" w14:textId="77777777" w:rsidR="00F627DB" w:rsidRDefault="00000000">
      <w:pPr>
        <w:pStyle w:val="BodyText"/>
      </w:pPr>
      <w:r>
        <w:t>The narrow margin also means that nearly half the participating electorate supported the other alternative. The winner may seek to consolidate support, negotiate with opponents, or strengthen its position for future competition. Which response becomes attractive depends partly on the surrounding rules and distribution of authority.</w:t>
      </w:r>
    </w:p>
    <w:p w14:paraId="780BADE6" w14:textId="77777777" w:rsidR="00F627DB" w:rsidRDefault="00000000">
      <w:pPr>
        <w:pStyle w:val="BodyText"/>
      </w:pPr>
      <w:r>
        <w:t>Suppose two communities report the same electoral result.</w:t>
      </w:r>
    </w:p>
    <w:p w14:paraId="731B4B5C" w14:textId="77777777" w:rsidR="00F627DB" w:rsidRDefault="00000000">
      <w:pPr>
        <w:pStyle w:val="BodyText"/>
      </w:pPr>
      <w:r>
        <w:t>In the first, the governing coalition can make ordinary policy decisions, but the institutions administering future elections, adjudicating legal challenges, and scrutinizing official conduct retain credible independence.</w:t>
      </w:r>
    </w:p>
    <w:p w14:paraId="7926FD88" w14:textId="77777777" w:rsidR="00F627DB" w:rsidRDefault="00000000">
      <w:pPr>
        <w:pStyle w:val="BodyText"/>
      </w:pPr>
      <w:r>
        <w:t>In the second, the winner can also influence appointments, information access, and the administration of future political competition.</w:t>
      </w:r>
    </w:p>
    <w:p w14:paraId="67D94703" w14:textId="77777777" w:rsidR="00F627DB" w:rsidRDefault="00000000">
      <w:pPr>
        <w:pStyle w:val="BodyText"/>
      </w:pPr>
      <w:r>
        <w:t>The election results are identical, but the authority available to the winners differs. The first arrangement constrains the winner's influence over scrutiny and future competition; the second gives the winner more opportunities to shape those conditions. Such differences can affect both the scope for decisive action and the opportunities to challenge it. Evaluating the trade-off requires the outcome and procedural standards discussed earlier.</w:t>
      </w:r>
    </w:p>
    <w:p w14:paraId="15861AA1" w14:textId="77777777" w:rsidR="00F627DB" w:rsidRDefault="00000000">
      <w:pPr>
        <w:pStyle w:val="BodyText"/>
      </w:pPr>
      <w:r>
        <w:t>The example thus separates authorization from the subsequent exercise of authority. An election selects a winner within an institutional arrangement; the result alone does not justify every later use of that authority. A further question arises when political support is divided among several alternatives: how do the rules turn that support into a government?</w:t>
      </w:r>
    </w:p>
    <w:p w14:paraId="54B8527A" w14:textId="77777777" w:rsidR="00F627DB" w:rsidRDefault="00000000">
      <w:pPr>
        <w:pStyle w:val="BodyText"/>
      </w:pPr>
      <w:r>
        <w:t>Consider three governing alternatives receiving 33.1%, 32.8%, and 33.5% of the vote, with the remaining 0.6% allocated elsewhere or unclassified.</w:t>
      </w:r>
    </w:p>
    <w:p w14:paraId="3E40F0CE" w14:textId="77777777" w:rsidR="00F627DB" w:rsidRDefault="00000000">
      <w:pPr>
        <w:pStyle w:val="BodyText"/>
      </w:pPr>
      <w:r>
        <w:t>No alternative has majority support.</w:t>
      </w:r>
    </w:p>
    <w:p w14:paraId="5C62EA8C" w14:textId="77777777" w:rsidR="00F627DB" w:rsidRDefault="00000000">
      <w:pPr>
        <w:pStyle w:val="BodyText"/>
      </w:pPr>
      <w:r>
        <w:t>Under a plurality procedure, the largest share may determine the winner. Under a representative arrangement requiring a coalition, the groups may instead negotiate over the formation of a governing majority.</w:t>
      </w:r>
    </w:p>
    <w:p w14:paraId="59CCE349" w14:textId="77777777" w:rsidR="00F627DB" w:rsidRDefault="00000000">
      <w:pPr>
        <w:pStyle w:val="BodyText"/>
      </w:pPr>
      <w:r>
        <w:t>If each receives legislative representation proportional to its stated vote share, any pair of the three principal groups would exceed half of the seats. Their small numerical differences would therefore matter differently under coalition bargaining than under a winner-take-all plurality rule.</w:t>
      </w:r>
    </w:p>
    <w:p w14:paraId="24384CF9" w14:textId="77777777" w:rsidR="00F627DB" w:rsidRDefault="00000000">
      <w:pPr>
        <w:pStyle w:val="BodyText"/>
      </w:pPr>
      <w:r>
        <w:t>Yet numerical feasibility does not establish political compatibility. Groups may have conflicting objectives, lack confidence in one another's commitments, or prefer different governing alliances.</w:t>
      </w:r>
    </w:p>
    <w:p w14:paraId="1EEDC40D" w14:textId="77777777" w:rsidR="00F627DB" w:rsidRDefault="00000000">
      <w:pPr>
        <w:pStyle w:val="BodyText"/>
      </w:pPr>
      <w:r>
        <w:lastRenderedPageBreak/>
        <w:t>For this comparison, we stipulate the distribution of support and examine how different rules would translate it into authority. In practice, electoral rules also influence voting behavior, so we should not expect identical observed votes under different systems. The example isolates the role of the translation rule rather than predicting an electoral outcome.</w:t>
      </w:r>
    </w:p>
    <w:p w14:paraId="2286E72A" w14:textId="77777777" w:rsidR="00F627DB" w:rsidRDefault="00000000">
      <w:pPr>
        <w:pStyle w:val="BodyText"/>
      </w:pPr>
      <w:r>
        <w:t xml:space="preserve">Both electoral examples illustrate a common point: </w:t>
      </w:r>
      <w:r>
        <w:rPr>
          <w:b/>
        </w:rPr>
        <w:t>the distribution of political support matters, but the rules translating that support into authority shape what happens afterward.</w:t>
      </w:r>
    </w:p>
    <w:p w14:paraId="2C5EF1D4" w14:textId="77777777" w:rsidR="00F627DB" w:rsidRDefault="00000000">
      <w:pPr>
        <w:pStyle w:val="BodyText"/>
      </w:pPr>
      <w:r>
        <w:t>Those rules influence opportunities for compromise, bargaining, scrutiny, and subsequent competition. They also affect who can control appointments, resources, and information, and who can challenge decisions once the initial allocation of authority has occurred.</w:t>
      </w:r>
    </w:p>
    <w:p w14:paraId="51701500" w14:textId="77777777" w:rsidR="00F627DB" w:rsidRDefault="00000000">
      <w:pPr>
        <w:pStyle w:val="BodyText"/>
      </w:pPr>
      <w:r>
        <w:t>Governance arrangements consequently influence not only present decisions but also the conditions under which future decisions will be made.</w:t>
      </w:r>
    </w:p>
    <w:p w14:paraId="53E289AD" w14:textId="77777777" w:rsidR="00F627DB" w:rsidRDefault="00000000">
      <w:pPr>
        <w:pStyle w:val="Heading1"/>
      </w:pPr>
      <w:r>
        <w:t>4. Institutional Evolution and Persistence</w:t>
      </w:r>
    </w:p>
    <w:p w14:paraId="34C8822C" w14:textId="77777777" w:rsidR="00F627DB" w:rsidRDefault="00000000">
      <w:pPr>
        <w:pStyle w:val="FirstParagraph"/>
      </w:pPr>
      <w:r>
        <w:t>The preceding examples show how an allocation of authority shapes later decisions. Those decisions can, in turn, change the practical distribution of influence even while formal rules remain in place. Consider a governing council that delegates increasingly complex responsibilities to professional administrators.</w:t>
      </w:r>
    </w:p>
    <w:p w14:paraId="0B36A10A" w14:textId="77777777" w:rsidR="00F627DB" w:rsidRDefault="00000000">
      <w:pPr>
        <w:pStyle w:val="BodyText"/>
      </w:pPr>
      <w:r>
        <w:t>Initially, delegation may improve governance. Administrators possess specialized knowledge, accumulate experience, and provide continuity across changes in political leadership. The council retains formal decision authority while relying on administrators to collect information, evaluate alternatives, and implement policies. As those responsibilities expand, officials who determine which information reaches the council or which proposals appear feasible may gain practical influence without acquiring final approval authority.</w:t>
      </w:r>
    </w:p>
    <w:p w14:paraId="49CCA1F2" w14:textId="77777777" w:rsidR="00F627DB" w:rsidRDefault="00000000">
      <w:pPr>
        <w:pStyle w:val="BodyText"/>
      </w:pPr>
      <w:r>
        <w:t>Whether this development preserves accountability depends partly on appointment arrangements, reporting obligations, access to independent information, and the council's ability to challenge recommendations. Suppose administrators also gain influence over appointments and performance evaluations. That influence may protect useful expertise and continuity. It may weaken scrutiny, however, if the officials being evaluated increasingly control the information or personnel required to evaluate them. Evidence about those relationships is needed to distinguish the possibilities.</w:t>
      </w:r>
    </w:p>
    <w:p w14:paraId="4A6DAC49" w14:textId="77777777" w:rsidR="00F627DB" w:rsidRDefault="00000000">
      <w:pPr>
        <w:pStyle w:val="BodyText"/>
      </w:pPr>
      <w:r>
        <w:t>In this example, institutional operation changes the conditions under which the institution continues to operate. We need to distinguish such changes from those arising primarily in the surrounding society. North examined how institutions shape incentives and how organizations, learning, and historical experience influence their evolution [4]. Greif and Laitin examined how institutional operation can change the conditions supporting persistence or transformation [5]. These contributions help us follow the connection from governing practice to subsequent institutional conditions.</w:t>
      </w:r>
    </w:p>
    <w:p w14:paraId="6C775185" w14:textId="77777777" w:rsidR="00F627DB" w:rsidRDefault="00000000">
      <w:pPr>
        <w:pStyle w:val="BodyText"/>
      </w:pPr>
      <w:r>
        <w:t>This distinction gives us a way to ask why an arrangement may become inadequate. A weakness may be present in its initial design. Population growth, changes in education and income, technological development, or external pressures may create demands the arrangement struggles to meet. Its own operation may also alter the distribution of authority and the effectiveness of correction. These processes can coexist: external demands may grow while internal practices either strengthen or weaken the response.</w:t>
      </w:r>
    </w:p>
    <w:p w14:paraId="387F55D3" w14:textId="77777777" w:rsidR="00F627DB" w:rsidRDefault="00000000">
      <w:pPr>
        <w:pStyle w:val="BodyText"/>
      </w:pPr>
      <w:r>
        <w:lastRenderedPageBreak/>
        <w:t>Changes in formal design also need to be distinguished from changes in practical influence. Acemoglu and Robinson's analysis of persistent effective power helps explain how powerful actors may retain influence despite changes in formal institutions [6]. For our inquiry, the implication is to examine who controls appointments, resources, information, and implementation after a formal change, as well as what the revised rules say.</w:t>
      </w:r>
    </w:p>
    <w:p w14:paraId="080C58E5" w14:textId="77777777" w:rsidR="00F627DB" w:rsidRDefault="00000000">
      <w:pPr>
        <w:pStyle w:val="BodyText"/>
      </w:pPr>
      <w:r>
        <w:t>Understanding how inadequacy develops leaves another question: why might it remain uncorrected? Imagine a community in which dissatisfaction with an established governing arrangement is widespread, but meaningful reform does not occur. Residents may believe reform would be beneficial, yet organizing requires effort and each expects others to remain inactive. Alternatively, a relatively small group may benefit substantially from the arrangement and possess enough influence to block changes that would reduce those benefits.</w:t>
      </w:r>
    </w:p>
    <w:p w14:paraId="5CBB097A" w14:textId="77777777" w:rsidR="00F627DB" w:rsidRDefault="00000000">
      <w:pPr>
        <w:pStyle w:val="BodyText"/>
      </w:pPr>
      <w:r>
        <w:t>These mechanisms may reinforce one another. A concentrated group may coordinate effectively because its members have large individual interests at stake, while a dispersed population faces greater difficulties organizing. Olson's work on collective action helps explain this asymmetry [8]. The same absence of reform may therefore reflect both difficulties among those seeking change and advantages held by those resisting it.</w:t>
      </w:r>
    </w:p>
    <w:p w14:paraId="0E6787AE" w14:textId="77777777" w:rsidR="00F627DB" w:rsidRDefault="00000000">
      <w:pPr>
        <w:pStyle w:val="BodyText"/>
      </w:pPr>
      <w:r>
        <w:t>Other barriers arise even when people can organize. Residents may agree that the arrangement is inadequate but disagree about its replacement. Gains and losses may be uncertain, or promises of future compensation or restraint may lack credibility. Acemoglu's analysis of political commitment problems explains why apparently beneficial agreements can remain difficult when participants cannot credibly bind the future exercise of political power [9].</w:t>
      </w:r>
    </w:p>
    <w:p w14:paraId="34CCE971" w14:textId="77777777" w:rsidR="00F627DB" w:rsidRDefault="00000000">
      <w:pPr>
        <w:pStyle w:val="BodyText"/>
      </w:pPr>
      <w:r>
        <w:t>These explanations suggest different observations and possible responses. Participation costs direct attention to the effort required to organize. Uncertainty directs attention to information about alternatives. Commitment problems raise questions about whether negotiated promises can be upheld. Where influential beneficiaries block reform, the allocation of decision rights may itself be part of the obstacle. A response useful for one mechanism may leave another untouched.</w:t>
      </w:r>
    </w:p>
    <w:p w14:paraId="3424559D" w14:textId="77777777" w:rsidR="00F627DB" w:rsidRDefault="00000000">
      <w:pPr>
        <w:pStyle w:val="BodyText"/>
      </w:pPr>
      <w:r>
        <w:t>To assess these explanations, we must keep three claims separate. Persistence is an observation that an arrangement continues. Inadequacy is an evaluation against a stated standard or preferable alternative, requiring attention to prospective benefits, costs, procedural consequences, and transition requirements. An explanation of persistence requires evidence connecting incentives, information, authority, or coordination problems to the failure of change. Continuation alone establishes neither adequacy nor its opposite, and it does not identify the mechanism sustaining the arrangement.</w:t>
      </w:r>
    </w:p>
    <w:p w14:paraId="70F53F66" w14:textId="77777777" w:rsidR="00F627DB" w:rsidRDefault="00000000">
      <w:pPr>
        <w:pStyle w:val="BodyText"/>
      </w:pPr>
      <w:r>
        <w:t>The distinction also clarifies the role of feasibility. A reform may be technically implementable with available resources and capabilities but politically unreachable under the existing allocation of authority. Political inaccessibility may explain non-adoption while leaving its prospective value open for evaluation. Similarly, an apparently entrenched arrangement may become vulnerable when expectations, information, or opportunities for collective action change; its persistence need not imply a stable equilibrium.</w:t>
      </w:r>
    </w:p>
    <w:p w14:paraId="0B8E2451" w14:textId="77777777" w:rsidR="00F627DB" w:rsidRDefault="00000000">
      <w:pPr>
        <w:pStyle w:val="BodyText"/>
      </w:pPr>
      <w:r>
        <w:t xml:space="preserve">When examining a particular arrangement, we can therefore ask two connected questions. What has made change desirable, and what prevents it from occurring? Answering the first requires identifying the inadequacy and its origins. Answering the second requires examining the mechanisms sustaining the </w:t>
      </w:r>
      <w:r>
        <w:lastRenderedPageBreak/>
        <w:t>arrangement. Together, the answers lead to the practical question of whether the arrangement can recognize a problem and carry an appropriate correction through.</w:t>
      </w:r>
    </w:p>
    <w:p w14:paraId="6713FF6E" w14:textId="77777777" w:rsidR="00F627DB" w:rsidRDefault="00000000">
      <w:pPr>
        <w:pStyle w:val="Heading1"/>
      </w:pPr>
      <w:r>
        <w:t>5. The Possibilities and Limits of Self-Correction</w:t>
      </w:r>
    </w:p>
    <w:p w14:paraId="053B0E29" w14:textId="77777777" w:rsidR="00F627DB" w:rsidRDefault="00000000">
      <w:pPr>
        <w:pStyle w:val="FirstParagraph"/>
      </w:pPr>
      <w:r>
        <w:t>Suppose an independent investigation identifies a serious weakness in a governing institution. The evidence is credible, and a proposed reform appears technically workable. Yet implementing it would reduce the authority or resources of the officials whose approval is required. If those officials withhold approval, recognition will not be enough to initiate a response. Even if approval were obtained, implementing the reform would pose a further challenge.</w:t>
      </w:r>
    </w:p>
    <w:p w14:paraId="459ADD49" w14:textId="77777777" w:rsidR="00F627DB" w:rsidRDefault="00000000">
      <w:pPr>
        <w:pStyle w:val="BodyText"/>
      </w:pPr>
      <w:r>
        <w:t>We distinguish three requirements for correction. Recognition concerns the availability and evaluation of information about an existing or emerging problem. Activation concerns whether information, incentives, authority, and collective action are sufficient to initiate a response. Transition concerns whether the response can be implemented while managing its consequences and maintaining essential governing functions.</w:t>
      </w:r>
    </w:p>
    <w:p w14:paraId="612821AB" w14:textId="77777777" w:rsidR="00F627DB" w:rsidRDefault="00000000">
      <w:pPr>
        <w:pStyle w:val="BodyText"/>
      </w:pPr>
      <w:r>
        <w:t>These requirements explain why discovering an inadequacy, initiating reform, and achieving improvement are different accomplishments. Their relationships need not follow a fixed sequence: coalitions may organize before diagnosis is complete, and implementation may reveal problems that require the proposal to be reconsidered.</w:t>
      </w:r>
    </w:p>
    <w:p w14:paraId="5BA08964" w14:textId="77777777" w:rsidR="00F627DB" w:rsidRDefault="00000000">
      <w:pPr>
        <w:pStyle w:val="BodyText"/>
      </w:pPr>
      <w:r>
        <w:t>The transition requirement becomes concrete when we consider what the institution must continue doing during reform. Essential public services must be provided, records and legal obligations preserved, and responsibilities allocated among existing and replacement institutions. Reform can fail if an incumbent loses operational capacity before its successor can perform the required functions.</w:t>
      </w:r>
    </w:p>
    <w:p w14:paraId="38C3AD3A" w14:textId="77777777" w:rsidR="00F627DB" w:rsidRDefault="00000000">
      <w:pPr>
        <w:pStyle w:val="BodyText"/>
      </w:pPr>
      <w:r>
        <w:t>Political resistance and bargaining may obstruct activation or complicate implementation. New administrative systems, staffing, financing, and continuity arrangements create material demands as well. Speed of change therefore tells us little by itself about whether the change can be carried through successfully.</w:t>
      </w:r>
    </w:p>
    <w:p w14:paraId="45D95320" w14:textId="77777777" w:rsidR="00F627DB" w:rsidRDefault="00000000">
      <w:pPr>
        <w:pStyle w:val="BodyText"/>
      </w:pPr>
      <w:r>
        <w:t>Recognition, activation, and transition depend partly on institutions that gather evidence, authorize responses, and oversee implementation. Those institutions are themselves part of governance. An independent review body has members, objectives, information, resources, and authority; its participants may develop interests that diverge from the purposes for which it was created.</w:t>
      </w:r>
    </w:p>
    <w:p w14:paraId="3D56D049" w14:textId="77777777" w:rsidR="00F627DB" w:rsidRDefault="00000000">
      <w:pPr>
        <w:pStyle w:val="BodyText"/>
      </w:pPr>
      <w:r>
        <w:t>Who evaluates the evaluator?</w:t>
      </w:r>
    </w:p>
    <w:p w14:paraId="46815C4E" w14:textId="77777777" w:rsidR="00F627DB" w:rsidRDefault="00000000">
      <w:pPr>
        <w:pStyle w:val="BodyText"/>
      </w:pPr>
      <w:r>
        <w:t>Adding another supervisor may reproduce the same difficulty: that body also needs information, authority, and accountable participants. An alternative is to examine how scrutiny can be distributed among people and institutions with different opportunities to observe and challenge governing conduct.</w:t>
      </w:r>
    </w:p>
    <w:p w14:paraId="6BBF09BB" w14:textId="77777777" w:rsidR="00F627DB" w:rsidRDefault="00000000">
      <w:pPr>
        <w:pStyle w:val="BodyText"/>
      </w:pPr>
      <w:r>
        <w:t>Ostrom's research on institutional design emphasizes monitoring accountable to participants, accessible arrangements for resolving conflicts, and responsibilities organized across appropriate levels [1]. McCubbins and Schwartz distinguish centralized routine inspection from oversight activated when affected parties identify problems and seek institutional attention [10]. These approaches offer different ways for information about a problem to reach someone able to respond.</w:t>
      </w:r>
    </w:p>
    <w:p w14:paraId="1AE52C45" w14:textId="77777777" w:rsidR="00F627DB" w:rsidRDefault="00000000">
      <w:pPr>
        <w:pStyle w:val="BodyText"/>
      </w:pPr>
      <w:r>
        <w:lastRenderedPageBreak/>
        <w:t>Their usefulness depends on how that connection operates. Overlapping institutions may create conflicting responsibilities and delays. Complaint-driven oversight may favor groups with better information or organizational resources. Nominally independent bodies may depend on the institutions they review for appointments, budgets, and evidence. Counting oversight bodies consequently tells us less than examining their practical ability to obtain information, conduct reviews, and secure a response.</w:t>
      </w:r>
    </w:p>
    <w:p w14:paraId="64E004BE" w14:textId="77777777" w:rsidR="00F627DB" w:rsidRDefault="00000000">
      <w:pPr>
        <w:pStyle w:val="BodyText"/>
      </w:pPr>
      <w:r>
        <w:t>We can examine those abilities before observing whether a particular correction succeeds. Can reviewers obtain necessary information without inappropriate interference? Can affected parties initiate scrutiny? Can review bodies require explanations or remedies? Are appointments and resources sufficiently independent to support those responsibilities? These observations concern the conditions supporting correction; the success of a particular response remains a further question.</w:t>
      </w:r>
    </w:p>
    <w:p w14:paraId="0122D747" w14:textId="77777777" w:rsidR="00F627DB" w:rsidRDefault="00000000">
      <w:pPr>
        <w:pStyle w:val="BodyText"/>
      </w:pPr>
      <w:r>
        <w:t>Suppose the formal authority of a review institution remains unchanged while its access to records becomes restricted, appointments grow more dependent on the officials being evaluated, and findings become more difficult to enforce.</w:t>
      </w:r>
    </w:p>
    <w:p w14:paraId="30A961A3" w14:textId="77777777" w:rsidR="00F627DB" w:rsidRDefault="00000000">
      <w:pPr>
        <w:pStyle w:val="BodyText"/>
      </w:pPr>
      <w:r>
        <w:t>These changes may indicate weakening corrective capacity before a particular policy failure becomes visible.</w:t>
      </w:r>
    </w:p>
    <w:p w14:paraId="6D136F73" w14:textId="77777777" w:rsidR="00F627DB" w:rsidRDefault="00000000">
      <w:pPr>
        <w:pStyle w:val="BodyText"/>
      </w:pPr>
      <w:r>
        <w:t>To interpret those changes, however, we need to examine the governing arrangement as a whole. A loss of power in one institution may be offset if another credible institution acquires comparable or superior abilities. Conversely, several apparently independent institutions may provide little effective scrutiny when they share the same sources of control.</w:t>
      </w:r>
    </w:p>
    <w:p w14:paraId="1DA76DD4" w14:textId="77777777" w:rsidR="00F627DB" w:rsidRDefault="00000000">
      <w:pPr>
        <w:pStyle w:val="BodyText"/>
      </w:pPr>
      <w:r>
        <w:t>This gives us a way to investigate deterioration without reasoning backward from failure alone. We first identify changes in information access, independence, authority, or other correction mechanisms. We then examine whether those changes affected responses to actual problems, considering alternative explanations and compensating mechanisms. Judging correction weak solely because reform failed, and then using that weakness to explain the failure, would be circular.</w:t>
      </w:r>
    </w:p>
    <w:p w14:paraId="3B2D0E32" w14:textId="77777777" w:rsidR="00F627DB" w:rsidRDefault="00000000">
      <w:pPr>
        <w:pStyle w:val="BodyText"/>
      </w:pPr>
      <w:r>
        <w:t>The same distinction helps us interpret an absence of change. An institution may possess effective means to remove an incompetent administrator yet properly decline to use them when allegations are unsupported. Frequent changes may instead reflect political competition or instability. Corrective capacity concerns the ability to respond appropriately to evidence, rather than the frequency or speed of institutional change.</w:t>
      </w:r>
    </w:p>
    <w:p w14:paraId="4A866623" w14:textId="77777777" w:rsidR="00F627DB" w:rsidRDefault="00000000">
      <w:pPr>
        <w:pStyle w:val="BodyText"/>
      </w:pPr>
      <w:r>
        <w:t>The problems requiring a response also change over time. North's discussion of adaptive efficiency is relevant here: institutions must confront changing circumstances as well as perform present functions efficiently [4]. Their ability to do so depends partly on how people can bring emerging problems to attention. Hirschman's analysis of exit, voice, and loyalty distinguishes opportunities to leave, express dissatisfaction, or seek influence from within [7]. These responses can contribute to correction when the surrounding arrangement gives them an effective route to institutional action.</w:t>
      </w:r>
    </w:p>
    <w:p w14:paraId="21091B9E" w14:textId="77777777" w:rsidR="00F627DB" w:rsidRDefault="00000000">
      <w:pPr>
        <w:pStyle w:val="BodyText"/>
      </w:pPr>
      <w:r>
        <w:t>Those routes can themselves evolve. Information channels may expand or narrow, review may become more or less independent, and authority may become more concentrated or more effectively constrained. External developments—an economic shock, technological change, international pressure, or a new source of information—can alter these conditions. They may create opportunities for reform, reinforce incumbents, or disrupt essential functions.</w:t>
      </w:r>
    </w:p>
    <w:p w14:paraId="75753A23" w14:textId="77777777" w:rsidR="00F627DB" w:rsidRDefault="00000000">
      <w:pPr>
        <w:pStyle w:val="BodyText"/>
      </w:pPr>
      <w:r>
        <w:lastRenderedPageBreak/>
        <w:t>Understanding self-correction therefore requires following how these developments affect recognition, activation, and transition in a particular arrangement. Whether a catalyst produces improvement depends partly on the arrangement's ability to turn the opening into an appropriate response and carry it through. The continuing question is whether those conditions remain available as governance evolves.</w:t>
      </w:r>
    </w:p>
    <w:p w14:paraId="2D444455" w14:textId="77777777" w:rsidR="00F627DB" w:rsidRDefault="00000000">
      <w:pPr>
        <w:pStyle w:val="Heading1"/>
      </w:pPr>
      <w:r>
        <w:t>6. Understanding the Value and Evolution of Governance</w:t>
      </w:r>
    </w:p>
    <w:p w14:paraId="2EFE2ED9" w14:textId="77777777" w:rsidR="00F627DB" w:rsidRDefault="00000000">
      <w:pPr>
        <w:pStyle w:val="FirstParagraph"/>
      </w:pPr>
      <w:r>
        <w:t>Consider a governing arrangement that has operated for many years. Dissatisfaction has become widespread, yet meaningful reform remains elusive. One observer sees an ineffective institution, another sees powerful beneficiaries protecting their interests, and a third sees an arrangement overtaken by social change. The same visible situation can be consistent with several explanations.</w:t>
      </w:r>
    </w:p>
    <w:p w14:paraId="6857F69F" w14:textId="77777777" w:rsidR="00F627DB" w:rsidRDefault="00000000">
      <w:pPr>
        <w:pStyle w:val="BodyText"/>
      </w:pPr>
      <w:r>
        <w:t>We can begin by establishing what the arrangement is expected to accomplish and what evidence would demonstrate inadequacy. Dissatisfaction supplies a reason to investigate. Evaluating a proposed replacement also requires examining its prospective benefits, procedural consequences, costs, and implementability.</w:t>
      </w:r>
    </w:p>
    <w:p w14:paraId="119D3005" w14:textId="77777777" w:rsidR="00F627DB" w:rsidRDefault="00000000">
      <w:pPr>
        <w:pStyle w:val="BodyText"/>
      </w:pPr>
      <w:r>
        <w:t>With the inadequacy specified, we can ask why it remains uncorrected. Are people unable to coordinate around a preferred reform? Can beneficiaries veto it? Are its consequences uncertain, or do groups disagree about the replacement? These mechanisms can interact, and each directs attention to different evidence. We should also examine shifts in practical control over information, appointments, resources, and implementation that formal rules may conceal.</w:t>
      </w:r>
    </w:p>
    <w:p w14:paraId="5647E5C4" w14:textId="77777777" w:rsidR="00F627DB" w:rsidRDefault="00000000">
      <w:pPr>
        <w:pStyle w:val="BodyText"/>
      </w:pPr>
      <w:r>
        <w:t>Those shifts connect the explanation of persistence with the possibility of correction. They may strengthen specialization and continuity, or weaken the channels through which problems are recognized and addressed. The relevant inquiry concerns reviewers' access to information, affected parties' opportunities to initiate scrutiny, the authority to obtain a response, and the ability to implement change while maintaining essential functions.</w:t>
      </w:r>
    </w:p>
    <w:p w14:paraId="1F4661A7" w14:textId="77777777" w:rsidR="00F627DB" w:rsidRDefault="00000000">
      <w:pPr>
        <w:pStyle w:val="BodyText"/>
      </w:pPr>
      <w:r>
        <w:t>These conditions can be investigated before final outcomes are known. Imagine two jurisdictions with similar formal rules and comparable exposure to an external shock. Before the shock, one has relatively independent review appointments, effective information access, and credible procedures for affected groups to initiate scrutiny. In the other, those channels depend more heavily on the authorities being evaluated.</w:t>
      </w:r>
    </w:p>
    <w:p w14:paraId="6A1D0826" w14:textId="77777777" w:rsidR="00F627DB" w:rsidRDefault="00000000">
      <w:pPr>
        <w:pStyle w:val="BodyText"/>
      </w:pPr>
      <w:r>
        <w:t>If the jurisdictions subsequently respond differently, the prior institutional differences may help explain the divergence. The comparison would also require evidence about resources, administrative competence, policy choices, and other circumstances. If the proposed differences do not help account for the responses, the explanation must be reconsidered or qualified. The value of the comparison is that it exposes an explanation to challenge rather than treating an institutional label as sufficient evidence.</w:t>
      </w:r>
    </w:p>
    <w:p w14:paraId="76CE9AC1" w14:textId="77777777" w:rsidR="00F627DB" w:rsidRDefault="00000000">
      <w:pPr>
        <w:pStyle w:val="BodyText"/>
      </w:pPr>
      <w:r>
        <w:t>Throughout this inquiry, evaluation and explanation perform different but connected work. Evaluation asks how an arrangement serves valued outcomes and procedures under a stated standard. Explanation asks why it operates, persists, or changes as observed. Understanding a mechanism can guide possible remedies, while judging those remedies requires returning to the evaluative standard. An electoral victory, institutional continuity, or the occurrence of reform cannot settle both questions at once.</w:t>
      </w:r>
    </w:p>
    <w:p w14:paraId="6F13CF1A" w14:textId="77777777" w:rsidR="00F627DB" w:rsidRDefault="00000000">
      <w:pPr>
        <w:pStyle w:val="BodyText"/>
      </w:pPr>
      <w:r>
        <w:t>We can now return to the individuals whose lives motivated our opening experiment.</w:t>
      </w:r>
    </w:p>
    <w:p w14:paraId="65FD1559" w14:textId="77777777" w:rsidR="00F627DB" w:rsidRDefault="00000000">
      <w:pPr>
        <w:pStyle w:val="BodyText"/>
      </w:pPr>
      <w:r>
        <w:lastRenderedPageBreak/>
        <w:t>Governance affects their security, opportunities, relationships, and ability to pursue valued outcomes. How governing authority is organized and exercised may also matter to them independently of those outcomes.</w:t>
      </w:r>
    </w:p>
    <w:p w14:paraId="3928EFBE" w14:textId="77777777" w:rsidR="00F627DB" w:rsidRDefault="00000000">
      <w:pPr>
        <w:pStyle w:val="BodyText"/>
      </w:pPr>
      <w:r>
        <w:t>Yet institutions influence more than today's decisions. Through their operation, they help determine who will possess information and authority tomorrow, which alternatives will remain available, and whether emerging inadequacies can be recognized and addressed.</w:t>
      </w:r>
    </w:p>
    <w:p w14:paraId="728221E3" w14:textId="77777777" w:rsidR="00F627DB" w:rsidRDefault="00000000">
      <w:pPr>
        <w:pStyle w:val="BodyText"/>
      </w:pPr>
      <w:r>
        <w:t>The value of governance therefore depends not only on what an arrangement accomplishes or how its authority is justified today, but also on how its operation shapes tomorrow's opportunities and constraints. Distinguishing design from practice, persistence from adequacy, and change from successful correction helps us examine that relationship. It directs attention beyond institutional labels toward how authority is actually exercised and how people can recognize, challenge, and address emerging problems.</w:t>
      </w:r>
    </w:p>
    <w:p w14:paraId="055B07D1" w14:textId="77777777" w:rsidR="00F627DB" w:rsidRDefault="00000000">
      <w:pPr>
        <w:pStyle w:val="Heading1"/>
      </w:pPr>
      <w:r>
        <w:t>AI-Use Disclosure</w:t>
      </w:r>
    </w:p>
    <w:p w14:paraId="10478444" w14:textId="77777777" w:rsidR="00F627DB" w:rsidRDefault="00000000">
      <w:pPr>
        <w:pStyle w:val="FirstParagraph"/>
      </w:pPr>
      <w:r>
        <w:t>This manuscript was developed by the independent author through iterative analytical discussion and AI-assisted drafting, critique, and revision. AI systems were also used for independent review exercises. The author remains responsible for the manuscript's arguments, interpretations, source verification, and final content.</w:t>
      </w:r>
    </w:p>
    <w:p w14:paraId="22A9E60B" w14:textId="77777777" w:rsidR="00F627DB" w:rsidRDefault="00000000">
      <w:pPr>
        <w:pStyle w:val="Heading1"/>
      </w:pPr>
      <w:r>
        <w:t>References</w:t>
      </w:r>
    </w:p>
    <w:p w14:paraId="6AEAF675" w14:textId="77777777" w:rsidR="00F627DB" w:rsidRDefault="00000000">
      <w:pPr>
        <w:pStyle w:val="ReferenceText"/>
      </w:pPr>
      <w:r>
        <w:t xml:space="preserve">[1] Ostrom, E. (1990). </w:t>
      </w:r>
      <w:r>
        <w:rPr>
          <w:i/>
        </w:rPr>
        <w:t>Governing the Commons: The Evolution of Institutions for Collective Action</w:t>
      </w:r>
      <w:r>
        <w:t>. Cambridge University Press.</w:t>
      </w:r>
    </w:p>
    <w:p w14:paraId="52FDC4C3" w14:textId="77777777" w:rsidR="00F627DB" w:rsidRDefault="00000000">
      <w:pPr>
        <w:pStyle w:val="ReferenceText"/>
      </w:pPr>
      <w:r>
        <w:t xml:space="preserve">[2] Christiano, T., &amp; Bajaj, S. (2024). “Democracy.” </w:t>
      </w:r>
      <w:r>
        <w:rPr>
          <w:i/>
        </w:rPr>
        <w:t>Stanford Encyclopedia of Philosophy</w:t>
      </w:r>
      <w:r>
        <w:t>. Substantive revision June 18, 2024. https://plato.stanford.edu/entries/democracy/</w:t>
      </w:r>
    </w:p>
    <w:p w14:paraId="6C725A28" w14:textId="77777777" w:rsidR="00F627DB" w:rsidRDefault="00000000">
      <w:pPr>
        <w:pStyle w:val="ReferenceText"/>
      </w:pPr>
      <w:r>
        <w:t xml:space="preserve">[3] May, K. O. (1952). “A Set of Independent Necessary and Sufficient Conditions for Simple Majority Decision.” </w:t>
      </w:r>
      <w:r>
        <w:rPr>
          <w:i/>
        </w:rPr>
        <w:t>Econometrica</w:t>
      </w:r>
      <w:r>
        <w:t>, 20(4), 680–684. https://doi.org/10.2307/1907651</w:t>
      </w:r>
    </w:p>
    <w:p w14:paraId="79F9B141" w14:textId="77777777" w:rsidR="00F627DB" w:rsidRDefault="00000000">
      <w:pPr>
        <w:pStyle w:val="ReferenceText"/>
      </w:pPr>
      <w:r>
        <w:t>[4] North, D. C. (1993). “Economic Performance through Time.” Nobel Prize Lecture. https://www.nobelprize.org/prizes/economic-sciences/1993/north/lecture/</w:t>
      </w:r>
    </w:p>
    <w:p w14:paraId="7B120D36" w14:textId="77777777" w:rsidR="00F627DB" w:rsidRDefault="00000000">
      <w:pPr>
        <w:pStyle w:val="ReferenceText"/>
      </w:pPr>
      <w:r>
        <w:t xml:space="preserve">[5] Greif, A., &amp; Laitin, D. D. (2004). “A Theory of Endogenous Institutional Change.” </w:t>
      </w:r>
      <w:r>
        <w:rPr>
          <w:i/>
        </w:rPr>
        <w:t>American Political Science Review</w:t>
      </w:r>
      <w:r>
        <w:t>, 98(4), 633–652. https://doi.org/10.1017/S0003055404041395</w:t>
      </w:r>
    </w:p>
    <w:p w14:paraId="7E91C188" w14:textId="77777777" w:rsidR="00F627DB" w:rsidRDefault="00000000">
      <w:pPr>
        <w:pStyle w:val="ReferenceText"/>
      </w:pPr>
      <w:r>
        <w:t xml:space="preserve">[6] Acemoglu, D., &amp; Robinson, J. A. (2008). “Persistence of Power, Elites, and Institutions.” </w:t>
      </w:r>
      <w:r>
        <w:rPr>
          <w:i/>
        </w:rPr>
        <w:t>American Economic Review</w:t>
      </w:r>
      <w:r>
        <w:t>, 98(1), 267–293. https://doi.org/10.1257/aer.98.1.267</w:t>
      </w:r>
    </w:p>
    <w:p w14:paraId="38BA746B" w14:textId="77777777" w:rsidR="00F627DB" w:rsidRDefault="00000000">
      <w:pPr>
        <w:pStyle w:val="ReferenceText"/>
      </w:pPr>
      <w:r>
        <w:t xml:space="preserve">[7] Hirschman, A. O. (1970). </w:t>
      </w:r>
      <w:r>
        <w:rPr>
          <w:i/>
        </w:rPr>
        <w:t>Exit, Voice, and Loyalty: Responses to Decline in Firms, Organizations, and States</w:t>
      </w:r>
      <w:r>
        <w:t>. Harvard University Press.</w:t>
      </w:r>
    </w:p>
    <w:p w14:paraId="64110A01" w14:textId="77777777" w:rsidR="00F627DB" w:rsidRDefault="00000000">
      <w:pPr>
        <w:pStyle w:val="ReferenceText"/>
      </w:pPr>
      <w:r>
        <w:t xml:space="preserve">[8] Olson, M. (1965). </w:t>
      </w:r>
      <w:r>
        <w:rPr>
          <w:i/>
        </w:rPr>
        <w:t>The Logic of Collective Action: Public Goods and the Theory of Groups</w:t>
      </w:r>
      <w:r>
        <w:t>. Harvard University Press.</w:t>
      </w:r>
    </w:p>
    <w:p w14:paraId="7CB9C018" w14:textId="77777777" w:rsidR="00F627DB" w:rsidRDefault="00000000">
      <w:pPr>
        <w:pStyle w:val="ReferenceText"/>
      </w:pPr>
      <w:r>
        <w:t xml:space="preserve">[9] Acemoglu, D. (2003). “Why Not a Political Coase Theorem? Social Conflict, Commitment, and Politics.” </w:t>
      </w:r>
      <w:r>
        <w:rPr>
          <w:i/>
        </w:rPr>
        <w:t>Journal of Comparative Economics</w:t>
      </w:r>
      <w:r>
        <w:t>, 31(4), 620–652. https://doi.org/10.1016/j.jce.2003.09.003</w:t>
      </w:r>
    </w:p>
    <w:p w14:paraId="7D0B62F5" w14:textId="77777777" w:rsidR="00F627DB" w:rsidRDefault="00000000">
      <w:pPr>
        <w:pStyle w:val="ReferenceText"/>
      </w:pPr>
      <w:r>
        <w:lastRenderedPageBreak/>
        <w:t xml:space="preserve">[10] McCubbins, M. D., &amp; Schwartz, T. (1984). “Congressional Oversight Overlooked: Police Patrols versus Fire Alarms.” </w:t>
      </w:r>
      <w:r>
        <w:rPr>
          <w:i/>
        </w:rPr>
        <w:t>American Journal of Political Science</w:t>
      </w:r>
      <w:r>
        <w:t>, 28(1), 165–179. https://doi.org/10.2307/2110792</w:t>
      </w:r>
    </w:p>
    <w:sectPr w:rsidR="00F627DB" w:rsidSect="00034616">
      <w:footerReference w:type="default" r:id="rId8"/>
      <w:pgSz w:w="12240" w:h="15840"/>
      <w:pgMar w:top="1195" w:right="1440" w:bottom="1195"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4AA7C" w14:textId="77777777" w:rsidR="005A53D7" w:rsidRDefault="005A53D7">
      <w:pPr>
        <w:spacing w:after="0" w:line="240" w:lineRule="auto"/>
      </w:pPr>
      <w:r>
        <w:separator/>
      </w:r>
    </w:p>
  </w:endnote>
  <w:endnote w:type="continuationSeparator" w:id="0">
    <w:p w14:paraId="14A2EF10" w14:textId="77777777" w:rsidR="005A53D7" w:rsidRDefault="005A5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F09A" w14:textId="77777777" w:rsidR="00F627DB" w:rsidRDefault="00000000">
    <w:pPr>
      <w:pStyle w:val="Footer"/>
      <w:jc w:val="center"/>
    </w:pPr>
    <w:r>
      <w:fldChar w:fldCharType="begin"/>
    </w:r>
    <w:r>
      <w:instrText>PAGE</w:instrText>
    </w:r>
    <w:r>
      <w:fldChar w:fldCharType="separate"/>
    </w:r>
    <w:r w:rsidR="002A32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1EADE" w14:textId="77777777" w:rsidR="005A53D7" w:rsidRDefault="005A53D7">
      <w:pPr>
        <w:spacing w:after="0" w:line="240" w:lineRule="auto"/>
      </w:pPr>
      <w:r>
        <w:separator/>
      </w:r>
    </w:p>
  </w:footnote>
  <w:footnote w:type="continuationSeparator" w:id="0">
    <w:p w14:paraId="2CA35474" w14:textId="77777777" w:rsidR="005A53D7" w:rsidRDefault="005A5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7232708">
    <w:abstractNumId w:val="8"/>
  </w:num>
  <w:num w:numId="2" w16cid:durableId="1433042679">
    <w:abstractNumId w:val="6"/>
  </w:num>
  <w:num w:numId="3" w16cid:durableId="2082021385">
    <w:abstractNumId w:val="5"/>
  </w:num>
  <w:num w:numId="4" w16cid:durableId="567423100">
    <w:abstractNumId w:val="4"/>
  </w:num>
  <w:num w:numId="5" w16cid:durableId="547759488">
    <w:abstractNumId w:val="7"/>
  </w:num>
  <w:num w:numId="6" w16cid:durableId="1681153744">
    <w:abstractNumId w:val="3"/>
  </w:num>
  <w:num w:numId="7" w16cid:durableId="118229748">
    <w:abstractNumId w:val="2"/>
  </w:num>
  <w:num w:numId="8" w16cid:durableId="259024474">
    <w:abstractNumId w:val="1"/>
  </w:num>
  <w:num w:numId="9" w16cid:durableId="632716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27F"/>
    <w:rsid w:val="00326F90"/>
    <w:rsid w:val="005A53D7"/>
    <w:rsid w:val="00964C70"/>
    <w:rsid w:val="00AA1D8D"/>
    <w:rsid w:val="00B47730"/>
    <w:rsid w:val="00CB0664"/>
    <w:rsid w:val="00F627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2C19E"/>
  <w14:defaultImageDpi w14:val="300"/>
  <w15:docId w15:val="{2C55EE61-9A2D-40ED-86A0-E1A566EF9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400" w:after="140" w:line="240" w:lineRule="auto"/>
      <w:outlineLvl w:val="0"/>
    </w:pPr>
    <w:rPr>
      <w:b/>
      <w:bCs/>
      <w:sz w:val="28"/>
      <w:szCs w:val="32"/>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b/>
      <w:bCs/>
      <w:sz w:val="24"/>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jc w:val="center"/>
    </w:pPr>
    <w:rPr>
      <w:b/>
      <w:bCs/>
      <w:sz w:val="32"/>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Title"/>
    <w:next w:val="Normal"/>
    <w:link w:val="SubtitleChar"/>
    <w:uiPriority w:val="11"/>
    <w:qFormat/>
    <w:rsid w:val="00FC693F"/>
    <w:rPr>
      <w:b w:val="0"/>
      <w:i/>
      <w:sz w:val="26"/>
      <w:szCs w:val="3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pPr>
      <w:keepNext/>
      <w:keepLines/>
      <w:spacing w:after="60"/>
      <w:jc w:val="center"/>
    </w:pPr>
    <w:rPr>
      <w:rFonts w:ascii="Times New Roman" w:eastAsia="Times New Roman" w:hAnsi="Times New Roman" w:cs="Times New Roman"/>
      <w:color w:val="000000"/>
    </w:rPr>
  </w:style>
  <w:style w:type="paragraph" w:customStyle="1" w:styleId="Date1">
    <w:name w:val="Date1"/>
    <w:pPr>
      <w:keepNext/>
      <w:keepLines/>
      <w:spacing w:after="280"/>
      <w:jc w:val="center"/>
    </w:pPr>
    <w:rPr>
      <w:rFonts w:ascii="Times New Roman" w:eastAsia="Times New Roman" w:hAnsi="Times New Roman" w:cs="Times New Roman"/>
      <w:color w:val="000000"/>
    </w:rPr>
  </w:style>
  <w:style w:type="paragraph" w:customStyle="1" w:styleId="FirstParagraph">
    <w:name w:val="First Paragraph"/>
    <w:basedOn w:val="BodyText"/>
  </w:style>
  <w:style w:type="paragraph" w:customStyle="1" w:styleId="ReferenceText">
    <w:name w:val="Reference Text"/>
    <w:pPr>
      <w:keepLines/>
      <w:spacing w:after="100" w:line="264" w:lineRule="auto"/>
      <w:ind w:left="360" w:hanging="360"/>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5015</Words>
  <Characters>28587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Honggao Cao</cp:lastModifiedBy>
  <cp:revision>2</cp:revision>
  <dcterms:created xsi:type="dcterms:W3CDTF">2013-12-23T23:15:00Z</dcterms:created>
  <dcterms:modified xsi:type="dcterms:W3CDTF">2026-10-15T19:15:00Z</dcterms:modified>
  <cp:category/>
</cp:coreProperties>
</file>