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Brain-Computer Interface Research from 2020 to 2026: A Metadata-Driven Review</w:t>
      </w:r>
    </w:p>
    <w:p>
      <w:r>
        <w:t>Generated: 2026-06-25 | Dataset: 700 papers</w:t>
      </w:r>
    </w:p>
    <w:p>
      <w:pPr>
        <w:pStyle w:val="Heading1"/>
      </w:pPr>
      <w:r>
        <w:t>Abstract</w:t>
      </w:r>
    </w:p>
    <w:p>
      <w:r>
        <w:t>This draft review maps Brain-Computer Interface (BCI) research from 2020 through 2026, selecting up to 100 papers per year from free public Semantic Scholar metadata. Candidate papers were retrieved with BCI-related queries, filtered by target year and relevance terms, deduplicated, and ranked by citation count. The resulting collection highlights work on motor imagery and movement decoding, SSVEP/P300/ERP systems, rehabilitation and neuroprosthetics, invasive interfaces, deep learning, EEG signal processing, speech and communication BCIs, and hybrid or closed-loop systems.</w:t>
      </w:r>
    </w:p>
    <w:p>
      <w:pPr>
        <w:pStyle w:val="Heading1"/>
      </w:pPr>
      <w:r>
        <w:t>1. Introduction and Scope</w:t>
      </w:r>
    </w:p>
    <w:p>
      <w:r>
        <w:t>Methods: For each year, BCI-oriented queries were sent to the Semantic Scholar Academic Graph bulk search endpoint. Records were retained when their title or abstract matched BCI relevance expressions, deduplicated by DOI, arXiv, PubMed, CorpusId, or paperId, and sorted by citationCount. The year 2026 should be interpreted as a partial year as of 2026-06-25.</w:t>
      </w:r>
    </w:p>
    <w:p>
      <w:pPr>
        <w:pStyle w:val="Heading1"/>
      </w:pPr>
      <w:r>
        <w:t>2. Taxonomy</w:t>
      </w:r>
    </w:p>
    <w:p>
      <w:pPr>
        <w:pStyle w:val="ListBullet"/>
      </w:pPr>
      <w:r>
        <w:t>Motor Imagery and Movement Decoding: 364</w:t>
      </w:r>
    </w:p>
    <w:p>
      <w:pPr>
        <w:pStyle w:val="ListBullet"/>
      </w:pPr>
      <w:r>
        <w:t>Invasive and Implantable Interfaces: 98</w:t>
      </w:r>
    </w:p>
    <w:p>
      <w:pPr>
        <w:pStyle w:val="ListBullet"/>
      </w:pPr>
      <w:r>
        <w:t>SSVEP, P300, and ERP Spellers: 76</w:t>
      </w:r>
    </w:p>
    <w:p>
      <w:pPr>
        <w:pStyle w:val="ListBullet"/>
      </w:pPr>
      <w:r>
        <w:t>EEG Signal Processing and Datasets: 55</w:t>
      </w:r>
    </w:p>
    <w:p>
      <w:pPr>
        <w:pStyle w:val="ListBullet"/>
      </w:pPr>
      <w:r>
        <w:t>Rehabilitation and Neuroprosthetics: 37</w:t>
      </w:r>
    </w:p>
    <w:p>
      <w:pPr>
        <w:pStyle w:val="ListBullet"/>
      </w:pPr>
      <w:r>
        <w:t>Deep Learning and Representation Learning: 27</w:t>
      </w:r>
    </w:p>
    <w:p>
      <w:pPr>
        <w:pStyle w:val="ListBullet"/>
      </w:pPr>
      <w:r>
        <w:t>General BCI Methods and Systems: 22</w:t>
      </w:r>
    </w:p>
    <w:p>
      <w:pPr>
        <w:pStyle w:val="ListBullet"/>
      </w:pPr>
      <w:r>
        <w:t>Speech, Language, and Communication BCIs: 16</w:t>
      </w:r>
    </w:p>
    <w:p>
      <w:pPr>
        <w:pStyle w:val="ListBullet"/>
      </w:pPr>
      <w:r>
        <w:t>Hybrid, Affective, and Closed-loop BCIs: 5</w:t>
      </w:r>
    </w:p>
    <w:p>
      <w:pPr>
        <w:pStyle w:val="Heading1"/>
      </w:pPr>
      <w:r>
        <w:t>3. Year-by-Year Trends</w:t>
      </w:r>
    </w:p>
    <w:p>
      <w:r>
        <w:t>The main metadata-level trends are as follows.</w:t>
      </w:r>
    </w:p>
    <w:p>
      <w:pPr>
        <w:pStyle w:val="ListBullet"/>
      </w:pPr>
      <w:r>
        <w:t>2020: 100 papers, 15,059 citations in selected set, top paper: Brain-Computer Interfaces</w:t>
      </w:r>
    </w:p>
    <w:p>
      <w:pPr>
        <w:pStyle w:val="ListBullet"/>
      </w:pPr>
      <w:r>
        <w:t>2021: 100 papers, 12,777 citations in selected set, top paper: High-performance brain-to-text communication via handwriting</w:t>
      </w:r>
    </w:p>
    <w:p>
      <w:pPr>
        <w:pStyle w:val="ListBullet"/>
      </w:pPr>
      <w:r>
        <w:t>2022: 100 papers, 8,860 citations in selected set, top paper: Human emotion recognition from EEG-based brain–computer interface using machine learning: a comprehensive review</w:t>
      </w:r>
    </w:p>
    <w:p>
      <w:pPr>
        <w:pStyle w:val="ListBullet"/>
      </w:pPr>
      <w:r>
        <w:t>2023: 100 papers, 8,406 citations in selected set, top paper: EEG-Based Emotion Recognition via Channel-Wise Attention and Self Attention</w:t>
      </w:r>
    </w:p>
    <w:p>
      <w:pPr>
        <w:pStyle w:val="ListBullet"/>
      </w:pPr>
      <w:r>
        <w:t>2024: 100 papers, 5,471 citations in selected set, top paper: Large Brain Model for Learning Generic Representations with Tremendous EEG Data in BCI</w:t>
      </w:r>
    </w:p>
    <w:p>
      <w:pPr>
        <w:pStyle w:val="ListBullet"/>
      </w:pPr>
      <w:r>
        <w:t>2025: 100 papers, 2,273 citations in selected set, top paper: Recent applications of EEG-based brain-computer-interface in the medical field</w:t>
      </w:r>
    </w:p>
    <w:p>
      <w:pPr>
        <w:pStyle w:val="ListBullet"/>
      </w:pPr>
      <w:r>
        <w:t>2026: 100 papers, 189 citations in selected set, top paper: EEG Foundation Models: Progresses, Benchmarking, and Open Problems</w:t>
      </w:r>
    </w:p>
    <w:p>
      <w:pPr>
        <w:pStyle w:val="Heading1"/>
      </w:pPr>
      <w:r>
        <w:t>4. Limitations</w:t>
      </w:r>
    </w:p>
    <w:p>
      <w:r>
        <w:t>Limitations: this is a metadata-driven review draft rather than a full systematic review of every PDF. Citation counts favor older work, recent 2026 papers are structurally under-counted, and some venues or publication dates are missing upstream.</w:t>
      </w:r>
    </w:p>
    <w:p>
      <w:pPr>
        <w:pStyle w:val="Heading1"/>
      </w:pPr>
      <w:r>
        <w:t>5. Conclusion</w:t>
      </w:r>
    </w:p>
    <w:p>
      <w:r>
        <w:t>Overall, BCI research in the 2020s is expanding across deep-learning EEG decoding, benchmarks and datasets, rehabilitation, high-performance invasive decoding, and usable communication systems. A full manuscript should next add PDF-level appraisal, clinical translation evidence, dataset reproducibility, long-term stability, safety, and ethics.</w:t>
      </w:r>
    </w:p>
    <w:p>
      <w:pPr>
        <w:pStyle w:val="Heading1"/>
      </w:pPr>
      <w:r>
        <w:t>Selected References</w:t>
      </w:r>
    </w:p>
    <w:p>
      <w:pPr>
        <w:pStyle w:val="ListNumber"/>
      </w:pPr>
      <w:r>
        <w:t>Ricardo Chavarriaga, J. Millán. (2020). Brain-Computer Interfaces. Handbook of Clinical Neurology. https://doi.org/10.1007/978-3-540-29678-2_717</w:t>
      </w:r>
    </w:p>
    <w:p>
      <w:pPr>
        <w:pStyle w:val="ListNumber"/>
      </w:pPr>
      <w:r>
        <w:t>Francis R. Willett, Donald T. Avansino, L. Hochberg, J. Henderson, K. Shenoy. (2021). High-performance brain-to-text communication via handwriting. Nature. https://doi.org/10.1038/s41586-021-03506-2</w:t>
      </w:r>
    </w:p>
    <w:p>
      <w:pPr>
        <w:pStyle w:val="ListNumber"/>
      </w:pPr>
      <w:r>
        <w:t>Essam H. Houssein, A. Hammad, Abdelmgeid A. Ali. (2022). Human emotion recognition from EEG-based brain–computer interface using machine learning: a comprehensive review. Neural computing &amp; applications (Print). https://doi.org/10.1007/s00521-022-07292-4</w:t>
      </w:r>
    </w:p>
    <w:p>
      <w:pPr>
        <w:pStyle w:val="ListNumber"/>
      </w:pPr>
      <w:r>
        <w:t>Wei Tao, Chang Li, Rencheng Song, Juan Cheng, Yu Liu, Feng Wan, et al.. (2023). EEG-Based Emotion Recognition via Channel-Wise Attention and Self Attention. IEEE Transactions on Affective Computing. https://doi.org/10.1109/TAFFC.2020.3025777</w:t>
      </w:r>
    </w:p>
    <w:p>
      <w:pPr>
        <w:pStyle w:val="ListNumber"/>
      </w:pPr>
      <w:r>
        <w:t>Wei-Bang Jiang, Li-Ming Zhao, Bao-Liang Lu. (2024). Large Brain Model for Learning Generic Representations with Tremendous EEG Data in BCI. International Conference on Learning Representations. https://doi.org/10.48550/arXiv.2405.18765</w:t>
      </w:r>
    </w:p>
    <w:p>
      <w:pPr>
        <w:pStyle w:val="ListNumber"/>
      </w:pPr>
      <w:r>
        <w:t>Xiuyun Liu, Wen-long Wang, Miao Liu, Mingyi Chen, Tânia Pereira, Desta Yakob Doda, et al.. (2025). Recent applications of EEG-based brain-computer-interface in the medical field. Military Medical Research. https://doi.org/10.1186/s40779-025-00598-z</w:t>
      </w:r>
    </w:p>
    <w:p>
      <w:pPr>
        <w:pStyle w:val="ListNumber"/>
      </w:pPr>
      <w:r>
        <w:t>Dingkun Liu, Yuheng Chen, Zhu Chen, Zhenyao Cui, Yaozhi Wen, Jiayu An, et al.. (2026). EEG Foundation Models: Progresses, Benchmarking, and Open Problems. arXiv.org. https://doi.org/10.48550/arXiv.2601.17883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