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Brain-Computer Interface Research from 2020 to 2026: A Metadata-Driven Review</w:t>
      </w:r>
    </w:p>
    <w:p>
      <w:r>
        <w:t>Generated: 2026-06-25 | Dataset: 700 papers</w:t>
      </w:r>
    </w:p>
    <w:p>
      <w:pPr>
        <w:pStyle w:val="Heading1"/>
      </w:pPr>
      <w:r>
        <w:t>Abstract</w:t>
      </w:r>
    </w:p>
    <w:p>
      <w:r>
        <w:t>This draft review maps Brain-Computer Interface (BCI) research from 2020 through 2026, investigating up to 500 candidate papers per year from free public Semantic Scholar metadata and selecting 100 papers per year by importance score. Candidate papers were retrieved with BCI-related queries, filtered by target year and strengthened BCI relevance terms, deduplicated, and scored for importance. The resulting collection highlights work on motor imagery and movement decoding, SSVEP/P300/ERP systems, rehabilitation and neuroprosthetics, invasive interfaces, deep learning, EEG signal processing, speech and communication BCIs, and hybrid or closed-loop systems.</w:t>
      </w:r>
    </w:p>
    <w:p>
      <w:pPr>
        <w:pStyle w:val="Heading1"/>
      </w:pPr>
      <w:r>
        <w:t>1. Introduction and Scope</w:t>
      </w:r>
    </w:p>
    <w:p>
      <w:r>
        <w:t>Methods: For each year, BCI-oriented queries were sent to the Semantic Scholar Academic Graph bulk search endpoint. Records were retained when their title or abstract matched BCI relevance expressions, deduplicated by DOI, arXiv, PubMed, CorpusId, or paperId, and reduced to at most 500 candidate papers per year. The final 100 papers per year were selected by an importance score that combines log-scaled citations, log-scaled influential citations, recognized venue signals, BCI relevance-term density, and bonuses for reviews/surveys, datasets/benchmarks, clinical or rehabilitation relevance, invasive high-bandwidth BCIs, and modern machine-learning methods. The year 2026 should be interpreted as a partial year as of 2026-06-25.</w:t>
      </w:r>
    </w:p>
    <w:p>
      <w:pPr>
        <w:pStyle w:val="Heading1"/>
      </w:pPr>
      <w:r>
        <w:t>2. Taxonomy</w:t>
      </w:r>
    </w:p>
    <w:p>
      <w:pPr>
        <w:pStyle w:val="ListBullet"/>
      </w:pPr>
      <w:r>
        <w:t>Motor Imagery and Movement Decoding: 476</w:t>
      </w:r>
    </w:p>
    <w:p>
      <w:pPr>
        <w:pStyle w:val="ListBullet"/>
      </w:pPr>
      <w:r>
        <w:t>SSVEP, P300, and ERP Spellers: 99</w:t>
      </w:r>
    </w:p>
    <w:p>
      <w:pPr>
        <w:pStyle w:val="ListBullet"/>
      </w:pPr>
      <w:r>
        <w:t>Invasive and Implantable Interfaces: 39</w:t>
      </w:r>
    </w:p>
    <w:p>
      <w:pPr>
        <w:pStyle w:val="ListBullet"/>
      </w:pPr>
      <w:r>
        <w:t>EEG Signal Processing and Datasets: 29</w:t>
      </w:r>
    </w:p>
    <w:p>
      <w:pPr>
        <w:pStyle w:val="ListBullet"/>
      </w:pPr>
      <w:r>
        <w:t>Rehabilitation and Neuroprosthetics: 21</w:t>
      </w:r>
    </w:p>
    <w:p>
      <w:pPr>
        <w:pStyle w:val="ListBullet"/>
      </w:pPr>
      <w:r>
        <w:t>General BCI Methods and Systems: 14</w:t>
      </w:r>
    </w:p>
    <w:p>
      <w:pPr>
        <w:pStyle w:val="ListBullet"/>
      </w:pPr>
      <w:r>
        <w:t>Deep Learning and Representation Learning: 12</w:t>
      </w:r>
    </w:p>
    <w:p>
      <w:pPr>
        <w:pStyle w:val="ListBullet"/>
      </w:pPr>
      <w:r>
        <w:t>Speech, Language, and Communication BCIs: 7</w:t>
      </w:r>
    </w:p>
    <w:p>
      <w:pPr>
        <w:pStyle w:val="ListBullet"/>
      </w:pPr>
      <w:r>
        <w:t>Hybrid, Affective, and Closed-loop BCIs: 3</w:t>
      </w:r>
    </w:p>
    <w:p>
      <w:pPr>
        <w:pStyle w:val="Heading1"/>
      </w:pPr>
      <w:r>
        <w:t>3. Year-by-Year Trends</w:t>
      </w:r>
    </w:p>
    <w:p>
      <w:r>
        <w:t>The main metadata-level trends are as follows.</w:t>
      </w:r>
    </w:p>
    <w:p>
      <w:pPr>
        <w:pStyle w:val="ListBullet"/>
      </w:pPr>
      <w:r>
        <w:t>2020: 100 papers, 10,957 citations in selected set, top paper: Current Status, Challenges, and Possible Solutions of EEG-Based Brain-Computer Interface: A Comprehensive Review</w:t>
      </w:r>
    </w:p>
    <w:p>
      <w:pPr>
        <w:pStyle w:val="ListBullet"/>
      </w:pPr>
      <w:r>
        <w:t>2021: 100 papers, 8,999 citations in selected set, top paper: A brain-computer interface that evokes tactile sensations improves robotic arm control</w:t>
      </w:r>
    </w:p>
    <w:p>
      <w:pPr>
        <w:pStyle w:val="ListBullet"/>
      </w:pPr>
      <w:r>
        <w:t>2022: 100 papers, 6,112 citations in selected set, top paper: FBMSNet: A Filter-Bank Multi-Scale Convolutional Neural Network for EEG-Based Motor Imagery Decoding</w:t>
      </w:r>
    </w:p>
    <w:p>
      <w:pPr>
        <w:pStyle w:val="ListBullet"/>
      </w:pPr>
      <w:r>
        <w:t>2023: 100 papers, 4,932 citations in selected set, top paper: Physics-Informed Attention Temporal Convolutional Network for EEG-Based Motor Imagery Classification</w:t>
      </w:r>
    </w:p>
    <w:p>
      <w:pPr>
        <w:pStyle w:val="ListBullet"/>
      </w:pPr>
      <w:r>
        <w:t>2024: 100 papers, 3,461 citations in selected set, top paper: Large Brain Model for Learning Generic Representations with Tremendous EEG Data in BCI</w:t>
      </w:r>
    </w:p>
    <w:p>
      <w:pPr>
        <w:pStyle w:val="ListBullet"/>
      </w:pPr>
      <w:r>
        <w:t>2025: 100 papers, 1,397 citations in selected set, top paper: EEG-based brain-computer interface enables real-time robotic hand control at individual finger level</w:t>
      </w:r>
    </w:p>
    <w:p>
      <w:pPr>
        <w:pStyle w:val="ListBullet"/>
      </w:pPr>
      <w:r>
        <w:t>2026: 100 papers, 102 citations in selected set, top paper: Toward Robust, Reproducible, and Widely Accessible Intracranial Language Brain-Computer Interfaces: A Comprehensive Review of Neural Mechanisms, Hardware, Algorithms, Evaluation, Clinical Pathways and Future Directions</w:t>
      </w:r>
    </w:p>
    <w:p>
      <w:pPr>
        <w:pStyle w:val="Heading1"/>
      </w:pPr>
      <w:r>
        <w:t>4. Limitations</w:t>
      </w:r>
    </w:p>
    <w:p>
      <w:r>
        <w:t>Limitations: this is a metadata-driven review draft rather than a full systematic review of every PDF. Citation counts favor older work, recent 2026 papers are structurally under-counted, and some venues or publication dates are missing upstream.</w:t>
      </w:r>
    </w:p>
    <w:p>
      <w:pPr>
        <w:pStyle w:val="Heading1"/>
      </w:pPr>
      <w:r>
        <w:t>5. Conclusion</w:t>
      </w:r>
    </w:p>
    <w:p>
      <w:r>
        <w:t>Overall, BCI research in the 2020s is expanding across deep-learning EEG decoding, benchmarks and datasets, rehabilitation, high-performance invasive decoding, and usable communication systems. A full manuscript should next add PDF-level appraisal, clinical translation evidence, dataset reproducibility, long-term stability, safety, and ethics.</w:t>
      </w:r>
    </w:p>
    <w:p>
      <w:pPr>
        <w:pStyle w:val="Heading1"/>
      </w:pPr>
      <w:r>
        <w:t>Selected References</w:t>
      </w:r>
    </w:p>
    <w:p>
      <w:pPr>
        <w:pStyle w:val="ListNumber"/>
      </w:pPr>
      <w:r>
        <w:t>M. Rashid, N. Sulaiman, A. P. Majeed, R. Musa, A. Nasir, Bifta Sama Bari, et al.. (2020). Current Status, Challenges, and Possible Solutions of EEG-Based Brain-Computer Interface: A Comprehensive Review. Frontiers in Neurorobotics. https://doi.org/10.3389/fnbot.2020.00025</w:t>
      </w:r>
    </w:p>
    <w:p>
      <w:pPr>
        <w:pStyle w:val="ListNumber"/>
      </w:pPr>
      <w:r>
        <w:t>Sharlene N. Flesher, J. Downey, Jeffrey M. Weiss, Christopher L. Hughes, Angelica J. Herrera, E. Tyler-Kabara, et al.. (2021). A brain-computer interface that evokes tactile sensations improves robotic arm control. Science. https://doi.org/10.1126/science.abd0380</w:t>
      </w:r>
    </w:p>
    <w:p>
      <w:pPr>
        <w:pStyle w:val="ListNumber"/>
      </w:pPr>
      <w:r>
        <w:t>Ke Liu, Mingzhao Yang, Zhuliang Yu, Guoyin Wang, Wei Wu. (2022). FBMSNet: A Filter-Bank Multi-Scale Convolutional Neural Network for EEG-Based Motor Imagery Decoding. IEEE Transactions on Biomedical Engineering. https://doi.org/10.1109/TBME.2022.3193277</w:t>
      </w:r>
    </w:p>
    <w:p>
      <w:pPr>
        <w:pStyle w:val="ListNumber"/>
      </w:pPr>
      <w:r>
        <w:t>Hamdi Altaheri, G. Muhammad, Mansour Alsulaiman. (2023). Physics-Informed Attention Temporal Convolutional Network for EEG-Based Motor Imagery Classification. IEEE Transactions on Industrial Informatics. https://doi.org/10.1109/TII.2022.3197419</w:t>
      </w:r>
    </w:p>
    <w:p>
      <w:pPr>
        <w:pStyle w:val="ListNumber"/>
      </w:pPr>
      <w:r>
        <w:t>Wei-Bang Jiang, Li-Ming Zhao, Bao-Liang Lu. (2024). Large Brain Model for Learning Generic Representations with Tremendous EEG Data in BCI. International Conference on Learning Representations. https://doi.org/10.48550/arXiv.2405.18765</w:t>
      </w:r>
    </w:p>
    <w:p>
      <w:pPr>
        <w:pStyle w:val="ListNumber"/>
      </w:pPr>
      <w:r>
        <w:t>Yidan Ding, Chalisa Udompanyawit, Yisha Zhang, B. He. (2025). EEG-based brain-computer interface enables real-time robotic hand control at individual finger level. Nature Communications. https://doi.org/10.1038/s41467-025-61064-x</w:t>
      </w:r>
    </w:p>
    <w:p>
      <w:pPr>
        <w:pStyle w:val="ListNumber"/>
      </w:pPr>
      <w:r>
        <w:t>Dongyi He, W. Siok, Nizhuan Wang. (2026). Toward Robust, Reproducible, and Widely Accessible Intracranial Language Brain-Computer Interfaces: A Comprehensive Review of Neural Mechanisms, Hardware, Algorithms, Evaluation, Clinical Pathways and Future Directions. Unknown venue. https://arxiv.org/abs/2603.12279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