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1A1A1A" w:val="clear"/>
          </w:tcPr>
          <w:p>
            <w:pPr>
              <w:pBdr>
                <w:top w:val="single" w:color="C9A84C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C9A84C"/>
                <w:spacing w:val="40"/>
                <w:sz w:val="18"/>
                <w:szCs w:val="18"/>
              </w:rPr>
              <w:t xml:space="preserve">Y  I  N  G  Z  A  O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《营造》数字营造系统</w:t>
            </w:r>
          </w:p>
          <w:p>
            <w:pPr>
              <w:spacing w:after="400" w:line="345" w:lineRule="atLeast"/>
              <w:jc w:val="center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宋《营造法式》斗栱榫卯数字营造系统 · 设计说明文档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参赛赛道：AIGC 类数字创意作品创作（专项赛道）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作品类别：交互设计与数字文化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参赛团队：【团队名称】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指导教师：【指导教师姓名】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90989F"/>
                <w:sz w:val="36"/>
                <w:szCs w:val="36"/>
              </w:rPr>
              <w:t xml:space="preserve">完成日期：2026 年 9 月</w:t>
            </w:r>
          </w:p>
          <w:p>
            <w:pPr>
              <w:spacing w:before="2000"/>
            </w:pPr>
          </w:p>
          <w:p>
            <w:pPr>
              <w:pBdr>
                <w:bottom w:val="single" w:color="C9A84C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687078"/>
                <w:sz w:val="18"/>
                <w:szCs w:val="18"/>
              </w:rPr>
              <w:t xml:space="preserve">全国大学生数字媒体科技作品及创意竞赛 · 参赛作品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00" w:before="200"/>
        <w:jc w:val="center"/>
      </w:pPr>
      <w:r>
        <w:rPr>
          <w:rFonts w:eastAsia="SimHei"/>
          <w:b/>
          <w:bCs/>
          <w:sz w:val="32"/>
          <w:szCs w:val="32"/>
        </w:rPr>
        <w:t xml:space="preserve">摘  要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营造》是一款以宋《营造法式》为蓝本的斗栱榫卯数字营造系统。作品将材分制模数体系转化为参数化生成算法，构建了营造学堂、拼装挑战、参数工坊、榫卯谱、斗栱抗震与营造之旅六大展区，覆盖「认——拼——改——造」的完整体验闭环。技术上，作品基于 Vue 3 与 Three.js 实现，构件几何全部由截面轮廓拉伸生成，铺作装配遵循原文铺作次序，木纹、瓦垄与音效均程序化合成，零外部素材；抗震演示采用自研单自由度结构响应模型，实测斗栱连接下屋面位移衰减至地面的 0.33 倍。作品全程由 AI 深度参与创作，过程留痕完备，符合 AIGC 专项赛道评审要求。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关键词：营造法式；斗栱；榫卯；参数化生成；WebGL；非物质文化遗产</w:t>
      </w:r>
      <w:r>
        <w:br w:type="page"/>
      </w:r>
    </w:p>
    <w:p>
      <w:pPr>
        <w:spacing w:after="300" w:before="200"/>
        <w:jc w:val="center"/>
      </w:pPr>
      <w:r>
        <w:rPr>
          <w:rFonts w:eastAsia="SimHei"/>
          <w:b/>
          <w:bCs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一、作品概述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创意背景与立意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作品定位与目标用户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1.3 赛道适配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二、作品结构与功能设计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2.1 营造学堂——构件认知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2.2 拼装挑战——游戏化拼装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2.3 参数工坊——模数化的可视化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2.4 榫卯谱——不用一钉一铆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2.5 营造之旅——程序化大殿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2.6 斗栱抗震——结构科学互动演示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2.7 系统支撑功能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三、形制考据与数据基准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3.1 材分制与八等材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3.2 斗与栱的形制尺寸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四、技术方案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4.1 总体架构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4.2 铺作生成算法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4.3 抗震演示的物理模型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4.4 程序化资产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4.5 性能工程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五、AIGC 参与说明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5.1 人机分工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5.2 AI 使用的边界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六、社会价值与传播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七、结语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eastAsia="SimSun"/>
          <w:i/>
          <w:iCs/>
          <w:color w:val="888888"/>
          <w:sz w:val="18"/>
          <w:szCs w:val="18"/>
        </w:rPr>
        <w:t xml:space="preserve">注：本目录由域代码生成。如编辑文档后页码变动，请在目录上右键选择「更新域」以刷新页码。</w:t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200" w:before="400" w:line="312"/>
      </w:pPr>
      <w:bookmarkStart w:id="100000" w:name="_Toc100000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一、作品概述</w:t>
      </w:r>
      <w:bookmarkEnd w:id="100000"/>
    </w:p>
    <w:p>
      <w:pPr>
        <w:pStyle w:val="Heading2"/>
        <w:spacing w:after="140" w:before="280" w:line="312"/>
      </w:pPr>
      <w:bookmarkStart w:id="100001" w:name="_Toc100001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1.1 创意背景与立意</w:t>
      </w:r>
      <w:bookmarkEnd w:id="10000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斗栱与榫卯是中国木构建筑的核心智慧：斗栱以层层出挑承托深远的屋檐，榫卯以不用一钉一铆的咬合连接构件。宋《营造法式》（公元 1103 年刊行）以「材分制」建立了古代世界罕见的标准化模数设计体系——「凡构屋之制，皆以材为祖」。然而今天，这套体系对公众而言正变得越来越陌生：术语艰深、实物难以近距离观察、结构原理更无从体验。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营造》的立意，是把这套体系从「看」变成「做」：将《营造法式》的形制规则转化为可交互的数字生成算法，让用户亲手拆解一朵斗栱、按宋人的工序把它拼回去、改一个参数看整朵铺作重构，最终在虚拟营造之旅中见证一座庑殿大殿拔地而起。我们相信，对非物质文化遗产最好的保护不是封存，而是让每一个人都能亲手参与。</w:t>
      </w:r>
    </w:p>
    <w:p>
      <w:pPr>
        <w:pStyle w:val="Heading2"/>
        <w:spacing w:after="140" w:before="280" w:line="312"/>
      </w:pPr>
      <w:bookmarkStart w:id="100002" w:name="_Toc100002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1.2 作品定位与目标用户</w:t>
      </w:r>
      <w:bookmarkEnd w:id="10000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定位为面向大众与文化爱好者的交互式数字文化产品，兼顾科普教育与文化传播双重价值。核心目标用户包括：文化爱好者与古建摄影人群、建筑与历史专业的学生教师，以及在展馆场景中的现场观众。全流程零门槛：无需任何专业知识即可上手，进阶内容（材分制、铺作次序）则供深度用户探究。</w:t>
      </w:r>
    </w:p>
    <w:p>
      <w:pPr>
        <w:pStyle w:val="Heading2"/>
        <w:spacing w:after="140" w:before="280" w:line="312"/>
      </w:pPr>
      <w:bookmarkStart w:id="100003" w:name="_Toc100003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1.3 赛道适配</w:t>
      </w:r>
      <w:bookmarkEnd w:id="10000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本作品报名 AIGC 类数字创意作品创作专项赛道。作品从形制考据、参数化生成算法到全部程序化资产（木纹、瓦垄、音效）均由 AI 深度参与完成，人机分工与创作过程全程留痕（见第五章），符合该赛道「清晰展示 AI 工具与技术使用过程」「说明 AI 参与创作比例」的评审要求。</w:t>
      </w:r>
    </w:p>
    <w:p>
      <w:pPr>
        <w:pStyle w:val="Heading1"/>
        <w:spacing w:after="200" w:before="400" w:line="312"/>
      </w:pPr>
      <w:bookmarkStart w:id="100004" w:name="_Toc100004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二、作品结构与功能设计</w:t>
      </w:r>
      <w:bookmarkEnd w:id="10000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作品为单页 WebGL 交互系统，由六大展区构成，围绕「认——拼——改——造」的递进关系组织：先认识构件（学堂），再亲手拼装（拼装），继而理解参数化本质（工坊），拓展至榫卯体系（榫卯谱），最终见证一座大殿的诞生（营造之旅）。</w:t>
      </w:r>
    </w:p>
    <w:p>
      <w:pPr>
        <w:pStyle w:val="Heading2"/>
        <w:spacing w:after="140" w:before="280" w:line="312"/>
      </w:pPr>
      <w:bookmarkStart w:id="100005" w:name="_Toc100005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2.1 营造学堂——构件认知</w:t>
      </w:r>
      <w:bookmarkEnd w:id="100005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学堂呈现一朵由材分制算法实时生成的柱头铺作（四铺作至八铺作可切换），用户可逐层拆解爆炸视图，点击任意构件查看名称、形制尺寸与《营造法式》文献出处。构件名称标注悬浮于三维空间，随视角自然遮挡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1  营造学堂：铺作全参数化重构（六铺作重栱造）</w:t>
      </w:r>
    </w:p>
    <w:p>
      <w:pPr>
        <w:pStyle w:val="Heading2"/>
        <w:spacing w:after="140" w:before="280" w:line="312"/>
      </w:pPr>
      <w:bookmarkStart w:id="100006" w:name="_Toc100006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2.2 拼装挑战——游戏化拼装</w:t>
      </w:r>
      <w:bookmarkEnd w:id="100006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整朵铺作按《营造法式》铺作次序拆散为构件盘，用户按真实营造工序从候选中选出下一件：选对则构件飞回原位并伴随程序化合成的木质「咔哒」声；选错则晃动并计入错误。完成后按用时与错误数评定甲、乙、丙三等。登录用户的成绩自动存档，可反复挑战更复杂的关卡。</w:t>
      </w:r>
    </w:p>
    <w:p>
      <w:pPr>
        <w:pStyle w:val="Heading2"/>
        <w:spacing w:after="140" w:before="280" w:line="312"/>
      </w:pPr>
      <w:bookmarkStart w:id="100007" w:name="_Toc100007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2.3 参数工坊——模数化的可视化</w:t>
      </w:r>
      <w:bookmarkEnd w:id="100007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材分制是《营造法式》的核心：「材分八等，度屋之大小，因而用之。」工坊提供材等滑杆（一至八等）与出跳数选择，同一朵铺作在八等材下呈现八种体量，并实时换算真实尺寸（按宋尺一尺约 31.2 厘米）——直观揭示八百年前的参数化设计思想。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2  参数工坊：一等材下的六铺作重栱（通高换算 410 厘米）</w:t>
      </w:r>
    </w:p>
    <w:p>
      <w:pPr>
        <w:pStyle w:val="Heading2"/>
        <w:spacing w:after="140" w:before="280" w:line="312"/>
      </w:pPr>
      <w:bookmarkStart w:id="100008" w:name="_Toc100008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2.4 榫卯谱——不用一钉一铆</w:t>
      </w:r>
      <w:bookmarkEnd w:id="100008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榫卯谱收录燕尾榫、格肩榫、抱肩榫、粽角榫、走马销、楔钉榫六种经典连接方式，每种均以参数化模型呈现，用户拖动开合滑杆即可观察榫头的咬合与锁定过程——楔钉榫更还原了「先合体、再上销」的两步工序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  榫卯谱：抱肩榫（柱与梁枋的弧口相抱）</w:t>
      </w:r>
    </w:p>
    <w:p>
      <w:pPr>
        <w:pStyle w:val="Heading2"/>
        <w:spacing w:after="140" w:before="280" w:line="312"/>
      </w:pPr>
      <w:bookmarkStart w:id="100009" w:name="_Toc100009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2.5 营造之旅——程序化大殿</w:t>
      </w:r>
      <w:bookmarkEnd w:id="10000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营造之旅是作品的终章：镜头自台基起，经立柱架梁、成排铺作，至举折屋顶与日暮全景，17 秒走完一座庑殿大殿的营造次序。殿上 18 朵铺作、屋架与瓦垄全部由算法实时生成，用户可随时暂停并自由环视。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4  营造之旅：檐下成排铺作层层出跳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5  营造之旅：日暮全景（庑殿顶与举折曲线）</w:t>
      </w:r>
    </w:p>
    <w:p>
      <w:pPr>
        <w:pStyle w:val="Heading2"/>
        <w:spacing w:after="140" w:before="280" w:line="312"/>
      </w:pPr>
      <w:bookmarkStart w:id="100010" w:name="_Toc100010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2.6 斗栱抗震——结构科学互动演示</w:t>
      </w:r>
      <w:bookmarkEnd w:id="100010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斗栱在古建筑中不仅是装饰，更是关键的抗震耗能节点。抗震展区将这一原理变为可操作的物理演示：一座置于振动台上的柱架模型，用户调节地震振幅与频率，并切换「斗栱连接 / 刚性连接」两种屋面连接方式。程序内置单自由度结构响应模型逐帧积分：斗栱连接下屋面位移衰减至地面的三分之一，刚性连接则放大至 1.3 倍——示波器双轨迹实时记录两条位移曲线，减震率大字读数一目了然。</w:t>
      </w:r>
    </w:p>
    <w:p>
      <w:pPr>
        <w:spacing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 w:line="312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6  斗栱抗震：振动台演示与位移示波器</w:t>
      </w:r>
    </w:p>
    <w:p>
      <w:pPr>
        <w:pStyle w:val="Heading2"/>
        <w:spacing w:after="140" w:before="280" w:line="312"/>
      </w:pPr>
      <w:bookmarkStart w:id="100011" w:name="_Toc100011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2.7 系统支撑功能</w:t>
      </w:r>
      <w:bookmarkEnd w:id="100011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系统内置登录注册体系（演示版本地鉴权，密码经 SHA-256 摘要存储），登录后拼装落成成绩自动存档；六步聚光式新手教程（箭头指向真实界面元素）保障零门槛上手；全部界面适配移动端触控。</w:t>
      </w:r>
    </w:p>
    <w:p>
      <w:pPr>
        <w:pStyle w:val="Heading1"/>
        <w:spacing w:after="200" w:before="400" w:line="312"/>
      </w:pPr>
      <w:bookmarkStart w:id="100012" w:name="_Toc100012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三、形制考据与数据基准</w:t>
      </w:r>
      <w:bookmarkEnd w:id="10001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界面中出现的每一个形制数字均可溯源至《营造法式》（卷四·大木作制度一）原文，考据过程对照中国哲学书电子化计划（ctext.org）与钦定四库全书本逐条核验。这一原则贯穿全部展区，也是作品区别于一般古建可视化作品的核心严谨性。</w:t>
      </w:r>
    </w:p>
    <w:p>
      <w:pPr>
        <w:pStyle w:val="Heading2"/>
        <w:spacing w:after="140" w:before="280" w:line="312"/>
      </w:pPr>
      <w:bookmarkStart w:id="100013" w:name="_Toc100013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3.1 材分制与八等材</w:t>
      </w:r>
      <w:bookmarkEnd w:id="10001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《营造法式》规定：「凡构屋之制，皆以材为祖。材有八等，度屋之大小，因而用之。」材广十五分、厚十分，栔广六分厚四分，足材二十一分；华栱每跳出跳三十。作品参数工坊据此实现八等材的实时换算。</w:t>
      </w:r>
    </w:p>
    <w:p>
      <w:pPr>
        <w:keepNext/>
        <w:spacing w:after="100" w:before="200" w:line="312"/>
      </w:pPr>
      <w:r>
        <w:rPr>
          <w:rFonts w:ascii="Times New Roman" w:eastAsia="SimHei"/>
          <w:b/>
          <w:bCs/>
          <w:color w:val="1A1A1A"/>
          <w:sz w:val="21"/>
          <w:szCs w:val="21"/>
        </w:rPr>
        <w:t xml:space="preserve">表 1  材分八等（《营造法式》卷四）</w:t>
      </w:r>
    </w:p>
    <w:tbl>
      <w:tblPr>
        <w:tblW w:type="pct" w:w="100%"/>
        <w:tblBorders>
          <w:top w:val="single" w:color="C9A84C" w:sz="8"/>
          <w:left w:val="none" w:color="auto" w:sz="0"/>
          <w:bottom w:val="single" w:color="C9A84C" w:sz="8"/>
          <w:right w:val="none" w:color="auto" w:sz="0"/>
          <w:insideH w:val="single" w:color="DDD6C8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等级</w:t>
            </w:r>
          </w:p>
        </w:tc>
        <w:tc>
          <w:tcPr>
            <w:tcW w:type="pct" w:w="2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材广（寸）</w:t>
            </w:r>
          </w:p>
        </w:tc>
        <w:tc>
          <w:tcPr>
            <w:tcW w:type="pct" w:w="2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材厚（寸）</w:t>
            </w:r>
          </w:p>
        </w:tc>
        <w:tc>
          <w:tcPr>
            <w:tcW w:type="pct" w:w="3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一等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9.0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6.0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9–11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二等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8.25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5.5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5–7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三等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7.5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5.0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3–5 间、堂 7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四等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7.2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4.8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3 间、厅堂 5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五等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6.6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4.4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殿身 3 间、厅堂 3 间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六等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6.0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4.0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亭榭、小殿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七等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5.25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3.5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小殿、亭榭</w:t>
            </w:r>
          </w:p>
        </w:tc>
      </w:tr>
      <w:tr>
        <w:trPr>
          <w:cantSplit/>
        </w:trPr>
        <w:tc>
          <w:tcPr>
            <w:tcW w:type="pct" w:w="1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八等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4.5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3.0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亭榭、藻井</w:t>
            </w:r>
          </w:p>
        </w:tc>
      </w:tr>
    </w:tbl>
    <w:p>
      <w:pPr>
        <w:pStyle w:val="Heading2"/>
        <w:spacing w:after="140" w:before="280" w:line="312"/>
      </w:pPr>
      <w:bookmarkStart w:id="100014" w:name="_Toc100014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3.2 斗与栱的形制尺寸</w:t>
      </w:r>
      <w:bookmarkEnd w:id="100014"/>
    </w:p>
    <w:p>
      <w:pPr>
        <w:keepNext/>
        <w:spacing w:after="100" w:before="200" w:line="312"/>
      </w:pPr>
      <w:r>
        <w:rPr>
          <w:rFonts w:ascii="Times New Roman" w:eastAsia="SimHei"/>
          <w:b/>
          <w:bCs/>
          <w:color w:val="1A1A1A"/>
          <w:sz w:val="21"/>
          <w:szCs w:val="21"/>
        </w:rPr>
        <w:t xml:space="preserve">表 2  主要构件形制（单位：分；摘自卷四「造枓之制」「造栱之制」）</w:t>
      </w:r>
    </w:p>
    <w:tbl>
      <w:tblPr>
        <w:tblW w:type="pct" w:w="100%"/>
        <w:tblBorders>
          <w:top w:val="single" w:color="C9A84C" w:sz="8"/>
          <w:left w:val="none" w:color="auto" w:sz="0"/>
          <w:bottom w:val="single" w:color="C9A84C" w:sz="8"/>
          <w:right w:val="none" w:color="auto" w:sz="0"/>
          <w:insideH w:val="single" w:color="DDD6C8" w:sz="2"/>
          <w:insideV w:val="none" w:color="auto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构件</w:t>
            </w:r>
          </w:p>
        </w:tc>
        <w:tc>
          <w:tcPr>
            <w:tcW w:type="pct" w:w="50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形制尺寸</w:t>
            </w:r>
          </w:p>
        </w:tc>
        <w:tc>
          <w:tcPr>
            <w:tcW w:type="pct" w:w="3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卷杀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栌斗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长 32 × 广 32 × 高 20（耳 8 · 平 4 · 欹 8），开口广 10 深 8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交互斗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长 18 × 广 16 × 高 10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齐心斗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长 16 × 广 16 × 高 10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散斗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长 16 × 广 14 × 高 10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华栱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足材高 21，两卷头者长 72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每头四瓣，每瓣长四分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泥道栱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单材高 15，长 63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每头四瓣，每瓣长四分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瓜子栱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单材高 15，长 62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每头四瓣，每瓣长四分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令栱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单材高 15，长 72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每头五瓣，每瓣长四分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慢栱</w:t>
            </w:r>
          </w:p>
        </w:tc>
        <w:tc>
          <w:tcPr>
            <w:tcW w:type="pct" w:w="5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单材高 15，长 92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每头四瓣，每瓣长三分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铺作次序同样依原文实现：构件入斗口坐于欹顶（栌斗深八分、小斗耳高四分），由此推出单栱计心造每层高四十八分（足材二十一、斗口六、瓜子栱十五、斗口六）、重栱造六十九分、偷心造二十七分——这一层高模型是铺作生成器的核心。</w:t>
      </w:r>
    </w:p>
    <w:p>
      <w:pPr>
        <w:pStyle w:val="Heading1"/>
        <w:spacing w:after="200" w:before="400" w:line="312"/>
      </w:pPr>
      <w:bookmarkStart w:id="100015" w:name="_Toc100015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四、技术方案</w:t>
      </w:r>
      <w:bookmarkEnd w:id="100015"/>
    </w:p>
    <w:p>
      <w:pPr>
        <w:pStyle w:val="Heading2"/>
        <w:spacing w:after="140" w:before="280" w:line="312"/>
      </w:pPr>
      <w:bookmarkStart w:id="100016" w:name="_Toc100016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4.1 总体架构</w:t>
      </w:r>
      <w:bookmarkEnd w:id="100016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作品采用 Vue 3 + Vite + TypeScript 构建，渲染层基于 Three.js（WebGL 2.0），镜头与时间轴编排使用 GSAP，音频全部由 Web Audio API 程序化合成。工程实施严格的模块分层：形制数据层（kaogu，全部参数标注文献出处）、构件生成层（dou/gong/joints，纯函数式几何生成）、铺作装配层（puzuo，铺作次序算法）、场景层（scene/palace/quake）与界面层（Vue 组件）各司其职。</w:t>
      </w:r>
    </w:p>
    <w:p>
      <w:pPr>
        <w:pStyle w:val="Heading2"/>
        <w:spacing w:after="140" w:before="280" w:line="312"/>
      </w:pPr>
      <w:bookmarkStart w:id="100017" w:name="_Toc100017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4.2 铺作生成算法</w:t>
      </w:r>
      <w:bookmarkEnd w:id="100017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铺作生成器是作品的技术核心：输入材等、跳数（一至五跳）、单栱/重栱造、计心/偷心造等参数，输出完整的构件清单与空间位姿。构件几何全部由「截面轮廓沿轴拉伸」生成——斗为带开口槽的 U 形轮廓，栱为含卷杀阶梯的侧向轮廓，昂与蚂蚱头耍头各有专属轮廓——不依赖任何外部模型文件。层高模型由构件入斗口的坐落规则（坐于欹顶）自动推导：单栱计心造每层四十八分、重栱造六十九分、偷心造二十七分。</w:t>
      </w:r>
    </w:p>
    <w:p>
      <w:pPr>
        <w:pStyle w:val="Heading2"/>
        <w:spacing w:after="140" w:before="280" w:line="312"/>
      </w:pPr>
      <w:bookmarkStart w:id="100018" w:name="_Toc100018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4.3 抗震演示的物理模型</w:t>
      </w:r>
      <w:bookmarkEnd w:id="100018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抗震展区将铺作层简化为一个水平剪切层，屋面为单自由度质量块，其运动满足受迫振动方程：x″ = ωn²(xg − x) + 2ζωn(xg′ − x′)，其中 xg 为地面位移，ωn 为结构自振频率，ζ 为等效阻尼比。斗栱连接取低自振频率（0.7Hz）与高阻尼（0.35，模拟榫卯摩擦滑移耗能），刚性连接取高自振频率（4.0Hz）与低阻尼（0.05）。逐帧采用半隐式欧拉法积分。实测对比（振幅 16 分、频率 2Hz）：斗栱连接下屋面峰值位移衰减至地面的 0.33 倍，刚性连接则放大至 1.31 倍。该模型为教学示意，不替代真实结构分析。</w:t>
      </w:r>
    </w:p>
    <w:p>
      <w:pPr>
        <w:keepNext/>
        <w:spacing w:after="100" w:before="200" w:line="312"/>
      </w:pPr>
      <w:r>
        <w:rPr>
          <w:rFonts w:ascii="Times New Roman" w:eastAsia="SimHei"/>
          <w:b/>
          <w:bCs/>
          <w:color w:val="1A1A1A"/>
          <w:sz w:val="21"/>
          <w:szCs w:val="21"/>
        </w:rPr>
        <w:t xml:space="preserve">表 3  抗震演示实测数据（振幅 16 分、频率 2Hz、采样 5 秒）</w:t>
      </w:r>
    </w:p>
    <w:tbl>
      <w:tblPr>
        <w:tblW w:type="pct" w:w="100%"/>
        <w:tblBorders>
          <w:top w:val="single" w:color="C9A84C" w:sz="8"/>
          <w:left w:val="none" w:color="auto" w:sz="0"/>
          <w:bottom w:val="single" w:color="C9A84C" w:sz="8"/>
          <w:right w:val="none" w:color="auto" w:sz="0"/>
          <w:insideH w:val="single" w:color="DDD6C8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屋面连接方式</w:t>
            </w:r>
          </w:p>
        </w:tc>
        <w:tc>
          <w:tcPr>
            <w:tcW w:type="pct" w:w="25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地面峰值位移（分）</w:t>
            </w:r>
          </w:p>
        </w:tc>
        <w:tc>
          <w:tcPr>
            <w:tcW w:type="pct" w:w="28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屋面峰值位移（分）</w:t>
            </w:r>
          </w:p>
        </w:tc>
        <w:tc>
          <w:tcPr>
            <w:tcW w:type="pct" w:w="2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响应比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斗栱连接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15.1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5.0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0.33（减震 67%）</w:t>
            </w:r>
          </w:p>
        </w:tc>
      </w:tr>
      <w:tr>
        <w:trPr>
          <w:cantSplit/>
        </w:trPr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刚性连接</w:t>
            </w:r>
          </w:p>
        </w:tc>
        <w:tc>
          <w:tcPr>
            <w:tcW w:type="pct" w:w="2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15.1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19.8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1.31（放大）</w:t>
            </w:r>
          </w:p>
        </w:tc>
      </w:tr>
    </w:tbl>
    <w:p>
      <w:pPr>
        <w:pStyle w:val="Heading2"/>
        <w:spacing w:after="140" w:before="280" w:line="312"/>
      </w:pPr>
      <w:bookmarkStart w:id="100019" w:name="_Toc100019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4.4 程序化资产</w:t>
      </w:r>
      <w:bookmarkEnd w:id="100019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作品不使用任何外部素材：木纹以 Canvas 程序化绘制（生长轮色带、随机游走纤维线、细密噪点，兼作凹凸贴图）；瓦垄纹理、序章纸纹同理；全部音效（拼装咔哒、错序闷响、完成拨弦）由 Web Audio 合成——噪声脉冲经带通滤波模拟木质撞击，五声音阶拨弦用于落成音。</w:t>
      </w:r>
    </w:p>
    <w:p>
      <w:pPr>
        <w:pStyle w:val="Heading2"/>
        <w:spacing w:after="140" w:before="280" w:line="312"/>
      </w:pPr>
      <w:bookmarkStart w:id="100020" w:name="_Toc100020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4.5 性能工程</w:t>
      </w:r>
      <w:bookmarkEnd w:id="100020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构建产物按依赖拆分：three.js 与界面主包分离，主包（含登录门）仅 42.75KB（gzip 19.66KB），三维库在登录后按需异步加载；纹理全部运行时生成，首屏无任何图片请求。移动端自动降档像素比与阴影精度，触控操作由 OrbitControls 原生支持。</w:t>
      </w:r>
    </w:p>
    <w:p>
      <w:pPr>
        <w:keepNext/>
        <w:spacing w:after="100" w:before="200" w:line="312"/>
      </w:pPr>
      <w:r>
        <w:rPr>
          <w:rFonts w:ascii="Times New Roman" w:eastAsia="SimHei"/>
          <w:b/>
          <w:bCs/>
          <w:color w:val="1A1A1A"/>
          <w:sz w:val="21"/>
          <w:szCs w:val="21"/>
        </w:rPr>
        <w:t xml:space="preserve">表 4  构建分包数据（vite build）</w:t>
      </w:r>
    </w:p>
    <w:tbl>
      <w:tblPr>
        <w:tblW w:type="pct" w:w="100%"/>
        <w:tblBorders>
          <w:top w:val="single" w:color="C9A84C" w:sz="8"/>
          <w:left w:val="none" w:color="auto" w:sz="0"/>
          <w:bottom w:val="single" w:color="C9A84C" w:sz="8"/>
          <w:right w:val="none" w:color="auto" w:sz="0"/>
          <w:insideH w:val="single" w:color="DDD6C8" w:sz="2"/>
          <w:insideV w:val="none" w:color="auto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分包</w:t>
            </w:r>
          </w:p>
        </w:tc>
        <w:tc>
          <w:tcPr>
            <w:tcW w:type="pct" w:w="2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体积（KB）</w:t>
            </w:r>
          </w:p>
        </w:tc>
        <w:tc>
          <w:tcPr>
            <w:tcW w:type="pct" w:w="2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gzip 后（KB）</w:t>
            </w:r>
          </w:p>
        </w:tc>
        <w:tc>
          <w:tcPr>
            <w:tcW w:type="pct" w:w="22%"/>
            <w:shd w:fill="EFEAE0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eastAsia="SimHei"/>
                <w:b/>
                <w:bCs/>
                <w:color w:val="1A1A1A"/>
                <w:sz w:val="21"/>
                <w:szCs w:val="21"/>
              </w:rPr>
              <w:t xml:space="preserve">加载时机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index（主包+登录门）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42.75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19.66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立即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vue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67.28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26.76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立即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gsap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70.44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27.81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立即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Viewer3D（作品组件）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38.15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12.60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登录后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three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498.72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127.52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eastAsia="SimSun"/>
                <w:color w:val="000000"/>
                <w:sz w:val="21"/>
                <w:szCs w:val="21"/>
              </w:rPr>
              <w:t xml:space="preserve">登录后</w:t>
            </w:r>
          </w:p>
        </w:tc>
      </w:tr>
    </w:tbl>
    <w:p>
      <w:pPr>
        <w:pStyle w:val="Heading1"/>
        <w:spacing w:after="200" w:before="400" w:line="312"/>
      </w:pPr>
      <w:bookmarkStart w:id="100021" w:name="_Toc100021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五、AIGC 参与说明</w:t>
      </w:r>
      <w:bookmarkEnd w:id="100021"/>
    </w:p>
    <w:p>
      <w:pPr>
        <w:pStyle w:val="Heading2"/>
        <w:spacing w:after="140" w:before="280" w:line="312"/>
      </w:pPr>
      <w:bookmarkStart w:id="100022" w:name="_Toc100022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5.1 人机分工</w:t>
      </w:r>
      <w:bookmarkEnd w:id="100022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本作品为 AI 深度参与的创作实践。人类创作者负责选题立意、赛道决策、形制审校、团队事务与最终把关；AI 负责代码实现、参数化算法构建、文档起草与测试验证。全部创作过程（技术决策、考据来源、版本演进、问题修复）以《AIGC 创作过程记录》文档全程留痕，作为本赛道「AI 参与过程说明」的支撑材料。</w:t>
      </w:r>
    </w:p>
    <w:p>
      <w:pPr>
        <w:pStyle w:val="Heading2"/>
        <w:spacing w:after="140" w:before="280" w:line="312"/>
      </w:pPr>
      <w:bookmarkStart w:id="100023" w:name="_Toc100023"/>
      <w:r>
        <w:rPr>
          <w:rFonts w:ascii="Times New Roman" w:eastAsia="SimHei"/>
          <w:b/>
          <w:bCs/>
          <w:color w:val="1A1A1A"/>
          <w:sz w:val="28"/>
          <w:szCs w:val="28"/>
        </w:rPr>
        <w:t xml:space="preserve">5.2 AI 使用的边界</w:t>
      </w:r>
      <w:bookmarkEnd w:id="100023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形制数据由 AI 检索《营造法式》原文（中国哲学书电子化计划、钦定四库全书本）并核验，界面中每个数字均标注卷次出处，由人类创作者复核；物理演示参数为教学示意并在界面明示；作品不生成任何虚构的历史数据。我们相信，AI 与人的协作本身就是作品立意「古人的参数化智慧遇见今天的参数化工具」的最好注脚。</w:t>
      </w:r>
    </w:p>
    <w:p>
      <w:pPr>
        <w:pStyle w:val="Heading1"/>
        <w:spacing w:after="200" w:before="400" w:line="312"/>
      </w:pPr>
      <w:bookmarkStart w:id="100024" w:name="_Toc100024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六、社会价值与传播</w:t>
      </w:r>
      <w:bookmarkEnd w:id="100024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《营造》尝试回应三个现实问题：其一，非遗技艺的传承断层——通过游戏化拼装降低认知门槛，让年轻一代「愿意碰」；其二，古建科普的抽象困境——抗震演示把结构原理变为可操作的直观体验；其三，文化自信的表达——作品证明传统形制体系本身即是一套精密的参数化设计系统，可与当代数字技术直接对话。作品为纯 Web 实现，扫码即玩，适合在博物馆、校园与文化活动中部署传播。</w:t>
      </w:r>
    </w:p>
    <w:p>
      <w:pPr>
        <w:pStyle w:val="Heading1"/>
        <w:spacing w:after="200" w:before="400" w:line="312"/>
      </w:pPr>
      <w:bookmarkStart w:id="100025" w:name="_Toc100025"/>
      <w:r>
        <w:rPr>
          <w:rFonts w:ascii="Times New Roman" w:eastAsia="SimHei"/>
          <w:b/>
          <w:bCs/>
          <w:color w:val="1A1A1A"/>
          <w:sz w:val="32"/>
          <w:szCs w:val="32"/>
        </w:rPr>
        <w:t xml:space="preserve">七、结语</w:t>
      </w:r>
      <w:bookmarkEnd w:id="100025"/>
    </w:p>
    <w:p>
      <w:pPr>
        <w:spacing w:after="6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李诫在《营造法式》序中写道：「以材为祖，材有八等。」八百年前的匠人用一套模数体系编织起整座殿宇；今天的我们用同样的思想驱动算法，让每一朵斗栱在屏幕上重新生长。《营造》的旅程没有终点——未来我们将继续扩充昂制铺作、转角铺作与更多地域案例，让这座数字营造所，收藏得起中国木构的全部想象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2" w:space="4"/>
      </w:pBdr>
      <w:jc w:val="center"/>
    </w:pPr>
    <w:r>
      <w:rPr>
        <w:rFonts w:eastAsia="SimSun"/>
        <w:color w:val="8A8378"/>
        <w:sz w:val="16"/>
        <w:szCs w:val="16"/>
      </w:rPr>
      <w:t xml:space="preserve">《营造》设计说明文档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 w:line="312"/>
      <w:outlineLvl w:val="0"/>
    </w:pPr>
    <w:rPr>
      <w:rFonts w:ascii="Times New Roman" w:eastAsia="SimHei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12"/>
      <w:outlineLvl w:val="1"/>
    </w:pPr>
    <w:rPr>
      <w:rFonts w:ascii="Times New Roman" w:eastAsia="SimHei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1A1A1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6b21dd0f15a55c5f46171929679555d9a3db4548.png"/><Relationship Id="rId11" Type="http://schemas.openxmlformats.org/officeDocument/2006/relationships/image" Target="media/beb91ee664d6b265d8a78eaf314dbac380172337.png"/><Relationship Id="rId12" Type="http://schemas.openxmlformats.org/officeDocument/2006/relationships/image" Target="media/a5ba232f426993622c57c5dabdaf427780c0698f.png"/><Relationship Id="rId13" Type="http://schemas.openxmlformats.org/officeDocument/2006/relationships/image" Target="media/954ce40c14269c235fa359bf8ab3bbc704fc0026.png"/><Relationship Id="rId14" Type="http://schemas.openxmlformats.org/officeDocument/2006/relationships/image" Target="media/8c22c96818b05e5bf94cdcfe3a2e523bca3bc2c4.png"/><Relationship Id="rId15" Type="http://schemas.openxmlformats.org/officeDocument/2006/relationships/image" Target="media/596f8d81c811abd2bdc2e1e3cf8812d5959a6ae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2026-09-27T11:48:53.979Z</dcterms:created>
  <dcterms:modified xsi:type="dcterms:W3CDTF">2026-09-27T11:48:53.981Z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