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t xml:space="preserve"/>
      </w:r>
    </w:p>
    <w:p>
      <w:pPr>
        <w:spacing w:after="4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24"/>
          <w:szCs w:val="24"/>
        </w:rPr>
        <w:t xml:space="preserve">삼성자산운용 주식회사</w:t>
      </w:r>
    </w:p>
    <w:p>
      <w:pPr>
        <w:spacing w:after="160" w:before="0" w:line="312" w:lineRule="auto"/>
        <w:ind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0"/>
          <w:szCs w:val="20"/>
        </w:rPr>
        <w:t xml:space="preserve">AX/PI센터 AX팀</w:t>
      </w:r>
    </w:p>
    <w:p>
      <w:pPr>
        <w:pBdr>
          <w:bottom w:val="single" w:color="AAAAAA" w:sz="8"/>
        </w:pBdr>
        <w:spacing w:after="240"/>
      </w:pPr>
      <w:r>
        <w:t xml:space="preserve"/>
      </w:r>
    </w:p>
    <w:p>
      <w:pP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64"/>
          <w:szCs w:val="64"/>
        </w:rPr>
        <w:t xml:space="preserve">AI 거버넌스 규정</w:t>
      </w:r>
    </w:p>
    <w:p>
      <w:pPr>
        <w:spacing w:after="3200"/>
      </w:pPr>
      <w:r>
        <w:t xml:space="preserve"/>
      </w:r>
    </w:p>
    <w:tbl>
      <w:tblPr>
        <w:tblW w:type="dxa" w:w="4400"/>
        <w:jc w:val="right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300"/>
        <w:gridCol w:w="3100"/>
      </w:tblGrid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IT-AX-REG-001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버전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v6.3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최종 수정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사규 (전사 적용)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소관 부서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AX/PI센터 AX팀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 w:before="0" w:line="312" w:lineRule="auto"/>
        <w:ind w:right="0"/>
        <w:jc w:val="right"/>
      </w:pPr>
      <w:r>
        <w:rPr>
          <w:rFonts w:ascii="Batang" w:cs="Batang" w:eastAsia="Batang" w:hAnsi="Batang"/>
          <w:b w:val="false"/>
          <w:bCs w:val="false"/>
          <w:color w:val="1C1C1C"/>
          <w:sz w:val="18"/>
          <w:szCs w:val="18"/>
        </w:rPr>
        <w:t xml:space="preserve">내부용 (Internal Use Only)</w:t>
      </w:r>
    </w:p>
    <w:p>
      <w:r>
        <w:br w:type="page"/>
      </w:r>
    </w:p>
    <w:p>
      <w:pPr>
        <w:pBdr>
          <w:bottom w:val="single" w:color="AAAAAA" w:sz="10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4"/>
          <w:szCs w:val="34"/>
        </w:rPr>
        <w:t xml:space="preserve">목차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제1조(목적)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제2조(적용 범위)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제3조(기본 원칙)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제4조(AI 솔루션 유형 분류)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제5조(데이터 기밀등급 및 AI 사용 기준)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제6조(위험 업무 분류)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제7조(에이전트 거버넌스 원칙)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제8조(절대 금지 사항)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제9조(거버넌스 R&amp;R)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부록 — 세부 기준 문서</w:t>
      </w:r>
    </w:p>
    <w:p>
      <w:r>
        <w:br w:type="pag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AI 거버넌스 규정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제1조(목적)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이 규정은 삼성자산운용이 업무 프로세스 혁신(PI)과 인공지능(AI) 기술 도입(AX)을 함께 추진하는 과정에서, AI를 안전하고 책임 있게 활용하기 위한 거버넌스 원칙, 위험 분류 체계, 에이전트 통제 기준, 금지 사항을 정함을 목적으로 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AI 도입 전 해당 업무 프로세스의 현황 진단을 선행하여야 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제2조(적용 범위)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규정은 다음 각 호에 해당하는 AI 시스템 및 서비스에 적용한다.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사내 개발·도입한 AI 시스템 및 자동화 파이프라인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임직원이 업무에 사용하는 외부 AI 서비스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자동으로 실행되는 AI 에이전트 (유형 3·4)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위탁·외주 개발 AI 시스템 중 회사 데이터를 처리하는 것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제3조(기본 원칙)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삼성자산운용의 AI 활용은 다음 원칙에 따른다.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481"/>
        <w:gridCol w:w="7285"/>
      </w:tblGrid>
      <w:tr>
        <w:tc>
          <w:tcPr>
            <w:tcW w:type="dxa" w:w="14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원칙</w:t>
            </w:r>
          </w:p>
        </w:tc>
        <w:tc>
          <w:tcPr>
            <w:tcW w:type="dxa" w:w="72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14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Native 지향</w:t>
            </w:r>
          </w:p>
        </w:tc>
        <w:tc>
          <w:tcPr>
            <w:tcW w:type="dxa" w:w="72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도입의 본질은 조직의 암묵지를 데이터로 전환하고 Context를 축적하는 것이다. 토큰을 소비하되 조직 지식이 누적되지 않는 사용은 AI 투자로 보지 않는다.</w:t>
            </w:r>
          </w:p>
        </w:tc>
      </w:tr>
      <w:tr>
        <w:tc>
          <w:tcPr>
            <w:tcW w:type="dxa" w:w="14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책임 귀속</w:t>
            </w:r>
          </w:p>
        </w:tc>
        <w:tc>
          <w:tcPr>
            <w:tcW w:type="dxa" w:w="72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활용에 따른 최종 의사결정과 그 결과에 대한 책임은 해당 업무 담당자에게 귀속된다.</w:t>
            </w:r>
          </w:p>
        </w:tc>
      </w:tr>
      <w:tr>
        <w:tc>
          <w:tcPr>
            <w:tcW w:type="dxa" w:w="14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보조 수단 한정</w:t>
            </w:r>
          </w:p>
        </w:tc>
        <w:tc>
          <w:tcPr>
            <w:tcW w:type="dxa" w:w="72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AI는 업무 판단을 지원하는 보조 수단으로 사용하며, AI 산출물을 담당자 검토 없이 최종 결과물로 사용할 수 없다.</w:t>
            </w:r>
          </w:p>
        </w:tc>
      </w:tr>
      <w:tr>
        <w:tc>
          <w:tcPr>
            <w:tcW w:type="dxa" w:w="14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데이터 기밀등급 준수</w:t>
            </w:r>
          </w:p>
        </w:tc>
        <w:tc>
          <w:tcPr>
            <w:tcW w:type="dxa" w:w="72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서비스 사용 시 데이터 기밀등급(G1·G2·G3)에 따라 허용 경로를 구분하여야 한다.</w:t>
            </w:r>
          </w:p>
        </w:tc>
      </w:tr>
      <w:tr>
        <w:tc>
          <w:tcPr>
            <w:tcW w:type="dxa" w:w="14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생성 출처 명시</w:t>
            </w:r>
          </w:p>
        </w:tc>
        <w:tc>
          <w:tcPr>
            <w:tcW w:type="dxa" w:w="72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AI가 생성한 결과물에는 AI 생성 사실 및 사용 도구를 명시하여야 한다.</w:t>
            </w:r>
          </w:p>
        </w:tc>
      </w:tr>
      <w:tr>
        <w:tc>
          <w:tcPr>
            <w:tcW w:type="dxa" w:w="14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중단 기능 구현</w:t>
            </w:r>
          </w:p>
        </w:tc>
        <w:tc>
          <w:tcPr>
            <w:tcW w:type="dxa" w:w="72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자동 실행 AI 시스템은 수동 즉시 중단 기능을 갖추어야 하며, 해당 기능이 없는 경우 운영을 허용하지 않는다.</w:t>
            </w:r>
          </w:p>
        </w:tc>
      </w:tr>
      <w:tr>
        <w:tc>
          <w:tcPr>
            <w:tcW w:type="dxa" w:w="14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기술적 통제 내장</w:t>
            </w:r>
          </w:p>
        </w:tc>
        <w:tc>
          <w:tcPr>
            <w:tcW w:type="dxa" w:w="72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통제 기준은 시스템 접근 제한, 권한 분리 등 기술적 수단으로 구현하여야 한다.</w:t>
            </w:r>
          </w:p>
        </w:tc>
      </w:tr>
      <w:tr>
        <w:tc>
          <w:tcPr>
            <w:tcW w:type="dxa" w:w="14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장애 행동 사전 정의</w:t>
            </w:r>
          </w:p>
        </w:tc>
        <w:tc>
          <w:tcPr>
            <w:tcW w:type="dxa" w:w="728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시스템 도입 전 장애·오류 발생 시의 행동 방식을 정의하여야 한다. 장애 행동이 정의되지 않은 시스템은 운영을 허용하지 않는다.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제4조(AI 솔루션 유형 분류)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AI 솔루션은 자율성 수준에 따라 유형 1부터 유형 4까지 4단계로 분류한다.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920"/>
        <w:gridCol w:w="4283"/>
        <w:gridCol w:w="3563"/>
      </w:tblGrid>
      <w:tr>
        <w:tc>
          <w:tcPr>
            <w:tcW w:type="dxa" w:w="9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유형</w:t>
            </w:r>
          </w:p>
        </w:tc>
        <w:tc>
          <w:tcPr>
            <w:tcW w:type="dxa" w:w="42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정의</w:t>
            </w:r>
          </w:p>
        </w:tc>
        <w:tc>
          <w:tcPr>
            <w:tcW w:type="dxa" w:w="35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예시</w:t>
            </w:r>
          </w:p>
        </w:tc>
      </w:tr>
      <w:tr>
        <w:tc>
          <w:tcPr>
            <w:tcW w:type="dxa" w:w="9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1</w:t>
            </w:r>
          </w:p>
        </w:tc>
        <w:tc>
          <w:tcPr>
            <w:tcW w:type="dxa" w:w="42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규칙 기반 자동화, AI 판단 없음</w:t>
            </w:r>
          </w:p>
        </w:tc>
        <w:tc>
          <w:tcPr>
            <w:tcW w:type="dxa" w:w="35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정형 데이터 추출, 대시보드</w:t>
            </w:r>
          </w:p>
        </w:tc>
      </w:tr>
      <w:tr>
        <w:tc>
          <w:tcPr>
            <w:tcW w:type="dxa" w:w="9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2</w:t>
            </w:r>
          </w:p>
        </w:tc>
        <w:tc>
          <w:tcPr>
            <w:tcW w:type="dxa" w:w="42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AI를 직접 사용하거나 다단계 워크플로에 활용하는 형태. 사람의 확인 단계가 포함됨</w:t>
            </w:r>
          </w:p>
        </w:tc>
        <w:tc>
          <w:tcPr>
            <w:tcW w:type="dxa" w:w="35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Claude.ai 직접 사용, 공시 분류 자동화, 보고서 초안 생성</w:t>
            </w:r>
          </w:p>
        </w:tc>
      </w:tr>
      <w:tr>
        <w:tc>
          <w:tcPr>
            <w:tcW w:type="dxa" w:w="9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3</w:t>
            </w:r>
          </w:p>
        </w:tc>
        <w:tc>
          <w:tcPr>
            <w:tcW w:type="dxa" w:w="42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AI가 도구를 자율 호출하며 목표를 달성하는 에이전트</w:t>
            </w:r>
          </w:p>
        </w:tc>
        <w:tc>
          <w:tcPr>
            <w:tcW w:type="dxa" w:w="35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리서치 에이전트, 데이터 수집 자동화</w:t>
            </w:r>
          </w:p>
        </w:tc>
      </w:tr>
      <w:tr>
        <w:tc>
          <w:tcPr>
            <w:tcW w:type="dxa" w:w="9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4</w:t>
            </w:r>
          </w:p>
        </w:tc>
        <w:tc>
          <w:tcPr>
            <w:tcW w:type="dxa" w:w="42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여러 에이전트가 협업하는 멀티 에이전트 시스템</w:t>
            </w:r>
          </w:p>
        </w:tc>
        <w:tc>
          <w:tcPr>
            <w:tcW w:type="dxa" w:w="35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운용·리서치·리포트 통합 시스템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유형 2 이상의 과제는 AX팀 과제 등록 절차를 거쳐야 한다. 세부 절차는 「AI 과제 심사·운영 지침」(IT-AX-OPS-002)에 따른다.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제5조(데이터 기밀등급 및 AI 사용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데이터 기밀등급은 다음과 같이 구분하며, 등급에 따라 허용 AI 경로를 제한한다.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058"/>
        <w:gridCol w:w="4002"/>
        <w:gridCol w:w="2706"/>
      </w:tblGrid>
      <w:tr>
        <w:tc>
          <w:tcPr>
            <w:tcW w:type="dxa" w:w="20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등급</w:t>
            </w:r>
          </w:p>
        </w:tc>
        <w:tc>
          <w:tcPr>
            <w:tcW w:type="dxa" w:w="400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정의</w:t>
            </w:r>
          </w:p>
        </w:tc>
        <w:tc>
          <w:tcPr>
            <w:tcW w:type="dxa" w:w="27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허용 AI 경로</w:t>
            </w:r>
          </w:p>
        </w:tc>
      </w:tr>
      <w:tr>
        <w:tc>
          <w:tcPr>
            <w:tcW w:type="dxa" w:w="20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(일반)</w:t>
            </w:r>
          </w:p>
        </w:tc>
        <w:tc>
          <w:tcPr>
            <w:tcW w:type="dxa" w:w="400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외부 공개 가능 정보</w:t>
            </w:r>
          </w:p>
        </w:tc>
        <w:tc>
          <w:tcPr>
            <w:tcW w:type="dxa" w:w="27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모든 AI 서비스</w:t>
            </w:r>
          </w:p>
        </w:tc>
      </w:tr>
      <w:tr>
        <w:tc>
          <w:tcPr>
            <w:tcW w:type="dxa" w:w="20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G2 (내부제한)</w:t>
            </w:r>
          </w:p>
        </w:tc>
        <w:tc>
          <w:tcPr>
            <w:tcW w:type="dxa" w:w="400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사내 공유, 외부 전송 금지</w:t>
            </w:r>
          </w:p>
        </w:tc>
        <w:tc>
          <w:tcPr>
            <w:tcW w:type="dxa" w:w="27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사내 승인 인프라만 허용</w:t>
            </w:r>
          </w:p>
        </w:tc>
      </w:tr>
      <w:tr>
        <w:tc>
          <w:tcPr>
            <w:tcW w:type="dxa" w:w="20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G3 (기밀)</w:t>
            </w:r>
          </w:p>
        </w:tc>
        <w:tc>
          <w:tcPr>
            <w:tcW w:type="dxa" w:w="400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고객정보, 미공개 투자정보, 법적 분쟁</w:t>
            </w:r>
          </w:p>
        </w:tc>
        <w:tc>
          <w:tcPr>
            <w:tcW w:type="dxa" w:w="27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온프레미스 전용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G3 데이터를 외부 AI 서비스에 전송하는 것은 절대 금지한다.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제6조(위험 업무 분류)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다음 각 호의 업무는 고위험으로 분류하며, AI 단독 처리를 금지하고 담당자 확인 후 실행하여야 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48"/>
        <w:gridCol w:w="5818"/>
      </w:tblGrid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업무 분류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예시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투자·운용 실행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ETF 리밸런싱·주문, NAV 확정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신용·위험 평가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신용등급 산출, VaR 계산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공시·법정문서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투자설명서, 약관, 금감원 제출 서류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컴플라이언스 판정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위반 여부 확정, 제재 판정</w:t>
            </w:r>
          </w:p>
        </w:tc>
      </w:tr>
      <w:tr>
        <w:tc>
          <w:tcPr>
            <w:tcW w:type="dxa" w:w="29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AML·FDS</w:t>
            </w:r>
          </w:p>
        </w:tc>
        <w:tc>
          <w:tcPr>
            <w:tcW w:type="dxa" w:w="58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이상거래 최종 판정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다음 각 호의 업무는 중위험으로 분류하며, AI 산출물을 초안으로 간주하고 담당자 검토 후 확정하여야 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3122"/>
        <w:gridCol w:w="5644"/>
      </w:tblGrid>
      <w:tr>
        <w:tc>
          <w:tcPr>
            <w:tcW w:type="dxa" w:w="3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업무 분류</w:t>
            </w:r>
          </w:p>
        </w:tc>
        <w:tc>
          <w:tcPr>
            <w:tcW w:type="dxa" w:w="56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예시</w:t>
            </w:r>
          </w:p>
        </w:tc>
      </w:tr>
      <w:tr>
        <w:tc>
          <w:tcPr>
            <w:tcW w:type="dxa" w:w="3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고객 상담·안내</w:t>
            </w:r>
          </w:p>
        </w:tc>
        <w:tc>
          <w:tcPr>
            <w:tcW w:type="dxa" w:w="56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챗봇, FAQ 자동화</w:t>
            </w:r>
          </w:p>
        </w:tc>
      </w:tr>
      <w:tr>
        <w:tc>
          <w:tcPr>
            <w:tcW w:type="dxa" w:w="3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내부 리포트 자동화</w:t>
            </w:r>
          </w:p>
        </w:tc>
        <w:tc>
          <w:tcPr>
            <w:tcW w:type="dxa" w:w="56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보고서 초안, 시장 브리핑</w:t>
            </w:r>
          </w:p>
        </w:tc>
      </w:tr>
      <w:tr>
        <w:tc>
          <w:tcPr>
            <w:tcW w:type="dxa" w:w="3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문서 분류·요약</w:t>
            </w:r>
          </w:p>
        </w:tc>
        <w:tc>
          <w:tcPr>
            <w:tcW w:type="dxa" w:w="56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DMS 분류, 계약서 검토 지원</w:t>
            </w:r>
          </w:p>
        </w:tc>
      </w:tr>
      <w:tr>
        <w:tc>
          <w:tcPr>
            <w:tcW w:type="dxa" w:w="3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업무 효율화 APA</w:t>
            </w:r>
          </w:p>
        </w:tc>
        <w:tc>
          <w:tcPr>
            <w:tcW w:type="dxa" w:w="56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공시 자동 분류, 데이터 정합성 체크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코드 어시스턴트, 문서 교정·번역, 회의록, 이메일 초안 등 G1 데이터만 활용하는 업무는 저위험으로 분류하며 과제 등록 없이 자유 사용이 가능하다.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제7조(에이전트 거버넌스 원칙)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유형 3·4 에이전트는 다음 원칙을 설계 단계에서 반드시 구현하여야 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040"/>
        <w:gridCol w:w="7726"/>
      </w:tblGrid>
      <w:tr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원칙</w:t>
            </w:r>
          </w:p>
        </w:tc>
        <w:tc>
          <w:tcPr>
            <w:tcW w:type="dxa" w:w="77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최소 권한</w:t>
            </w:r>
          </w:p>
        </w:tc>
        <w:tc>
          <w:tcPr>
            <w:tcW w:type="dxa" w:w="77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목표에 필요한 도구만 허용한다. 각 도구 허용 이유를 명시한다.</w:t>
            </w:r>
          </w:p>
        </w:tc>
      </w:tr>
      <w:tr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중단 가능</w:t>
            </w:r>
          </w:p>
        </w:tc>
        <w:tc>
          <w:tcPr>
            <w:tcW w:type="dxa" w:w="77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언제든지 즉시 중단할 수 있어야 한다. Kill Switch 없이 운영 불허.</w:t>
            </w:r>
          </w:p>
        </w:tc>
      </w:tr>
      <w:tr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추적</w:t>
            </w:r>
          </w:p>
        </w:tc>
        <w:tc>
          <w:tcPr>
            <w:tcW w:type="dxa" w:w="77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에이전트의 입력·도구 호출·출력을 기록한다. 세부 로그 항목 기준은 「AI 에이전트 등록·통제 지침」(IT-AX-OPS-003 제6조)에 따른다.</w:t>
            </w:r>
          </w:p>
        </w:tc>
      </w:tr>
      <w:tr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범위 제한</w:t>
            </w:r>
          </w:p>
        </w:tc>
        <w:tc>
          <w:tcPr>
            <w:tcW w:type="dxa" w:w="77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지정 범위 밖 요청은 거절하고 담당자에게 에스컬레이션한다.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유형 4(멀티 에이전트)는 제1항에 더하여 다음 원칙을 추가로 준수하여야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오케스트레이터가 서브 에이전트에 위임할 때 권한 범위를 명시적으로 제한한다.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에이전트 간 통신을 기록한다.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제8조(절대 금지 사항)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다음 각 호의 행위는 어떠한 경우에도 금지한다.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G3 데이터 외부 AI 전송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AI 단독으로 금융 거래·주문·이체 실행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AI 단독으로 고객 계약·법정 제출 서류 확정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Agent ID 없는 유형 3·4 에이전트 운영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⑤ API 키 코드 하드코딩 및 GitHub 업로드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제9조(거버넌스 R&amp;R)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AX 위원회는 다음 임무를 수행한다.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035"/>
        <w:gridCol w:w="6731"/>
      </w:tblGrid>
      <w:tr>
        <w:tc>
          <w:tcPr>
            <w:tcW w:type="dxa" w:w="203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임무</w:t>
            </w:r>
          </w:p>
        </w:tc>
        <w:tc>
          <w:tcPr>
            <w:tcW w:type="dxa" w:w="67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203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규정 개정 심의·의결</w:t>
            </w:r>
          </w:p>
        </w:tc>
        <w:tc>
          <w:tcPr>
            <w:tcW w:type="dxa" w:w="67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 규정(IT-AX-REG-001) 개정 시 심의·의결</w:t>
            </w:r>
          </w:p>
        </w:tc>
      </w:tr>
      <w:tr>
        <w:tc>
          <w:tcPr>
            <w:tcW w:type="dxa" w:w="203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최종 승인</w:t>
            </w:r>
          </w:p>
        </w:tc>
        <w:tc>
          <w:tcPr>
            <w:tcW w:type="dxa" w:w="67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투자·운용 실행·공시·컴플라이언스 판정 관련 고위험 AI 시스템 운영 승격 최종 승인</w:t>
            </w:r>
          </w:p>
        </w:tc>
      </w:tr>
      <w:tr>
        <w:tc>
          <w:tcPr>
            <w:tcW w:type="dxa" w:w="203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 운영 보고 수령</w:t>
            </w:r>
          </w:p>
        </w:tc>
        <w:tc>
          <w:tcPr>
            <w:tcW w:type="dxa" w:w="67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 1회 AX팀 운영 보고 수령 및 개선 지시</w:t>
            </w:r>
          </w:p>
        </w:tc>
      </w:tr>
      <w:tr>
        <w:tc>
          <w:tcPr>
            <w:tcW w:type="dxa" w:w="203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정책 방향 결정</w:t>
            </w:r>
          </w:p>
        </w:tc>
        <w:tc>
          <w:tcPr>
            <w:tcW w:type="dxa" w:w="673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신규 금융규제·감독당국 가이드라인 변화 대응 방향 결정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구성·회의 운영 세부사항은 「운영방안_AX위원회」(IT-AX-GOV-001)에 따른다.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AX팀은 이 규정의 일상 운영 주체로서 다음 업무를 담당한다.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담당 업무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심사·승인 (고위험 투자·운용 관련 제외)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CREW가 개발한 결과물의 인수·AX 엔지니어 주도 고도화 및 운영 전환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Agent ID 발급·관리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CREW 지원 및 등급 관리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지침·가이드라인 개정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일상 모니터링·KPI 점검</w:t>
            </w:r>
          </w:p>
        </w:tc>
      </w:tr>
      <w:tr>
        <w:tc>
          <w:tcPr>
            <w:tcW w:type="dxa" w:w="87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위원회 안건 작성 및 간사 업무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부록 — 세부 기준 문서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815"/>
        <w:gridCol w:w="2139"/>
        <w:gridCol w:w="4812"/>
      </w:tblGrid>
      <w:tr>
        <w:tc>
          <w:tcPr>
            <w:tcW w:type="dxa" w:w="18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문서번호</w:t>
            </w:r>
          </w:p>
        </w:tc>
        <w:tc>
          <w:tcPr>
            <w:tcW w:type="dxa" w:w="21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문서명</w:t>
            </w:r>
          </w:p>
        </w:tc>
        <w:tc>
          <w:tcPr>
            <w:tcW w:type="dxa" w:w="48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주요 내용</w:t>
            </w:r>
          </w:p>
        </w:tc>
      </w:tr>
      <w:tr>
        <w:tc>
          <w:tcPr>
            <w:tcW w:type="dxa" w:w="18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IT-AX-OPS-002</w:t>
            </w:r>
          </w:p>
        </w:tc>
        <w:tc>
          <w:tcPr>
            <w:tcW w:type="dxa" w:w="21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22"/>
                <w:szCs w:val="22"/>
              </w:rPr>
              <w:t xml:space="preserve">지침_AI_과제심사운영.md</w:t>
            </w:r>
          </w:p>
        </w:tc>
        <w:tc>
          <w:tcPr>
            <w:tcW w:type="dxa" w:w="48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CREW 역할·등급, Phase 2~7 과제 단계, 과제 정의서 서식, 6차원 자동 평가</w:t>
            </w:r>
          </w:p>
        </w:tc>
      </w:tr>
      <w:tr>
        <w:tc>
          <w:tcPr>
            <w:tcW w:type="dxa" w:w="18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IT-AX-OPS-003</w:t>
            </w:r>
          </w:p>
        </w:tc>
        <w:tc>
          <w:tcPr>
            <w:tcW w:type="dxa" w:w="21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22"/>
                <w:szCs w:val="22"/>
              </w:rPr>
              <w:t xml:space="preserve">지침_AI_에이전트등록통제.md</w:t>
            </w:r>
          </w:p>
        </w:tc>
        <w:tc>
          <w:tcPr>
            <w:tcW w:type="dxa" w:w="48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위험등급별 통제 요건, 에이전트 라이프사이클, 자원·비용 관리, 암묵지 성숙도 평가</w:t>
            </w:r>
          </w:p>
        </w:tc>
      </w:tr>
      <w:tr>
        <w:tc>
          <w:tcPr>
            <w:tcW w:type="dxa" w:w="18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IT-AX-OPS-004</w:t>
            </w:r>
          </w:p>
        </w:tc>
        <w:tc>
          <w:tcPr>
            <w:tcW w:type="dxa" w:w="21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22"/>
                <w:szCs w:val="22"/>
              </w:rPr>
              <w:t xml:space="preserve">지침_AI_개발배포기준.md</w:t>
            </w:r>
          </w:p>
        </w:tc>
        <w:tc>
          <w:tcPr>
            <w:tcW w:type="dxa" w:w="48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CREW 이관 기준, AX 엔지니어 개발 기준, 배포 환경 결정, 데이터플랫폼팀 연계</w:t>
            </w:r>
          </w:p>
        </w:tc>
      </w:tr>
      <w:tr>
        <w:tc>
          <w:tcPr>
            <w:tcW w:type="dxa" w:w="18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IT-AX-OPS-005</w:t>
            </w:r>
          </w:p>
        </w:tc>
        <w:tc>
          <w:tcPr>
            <w:tcW w:type="dxa" w:w="21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22"/>
                <w:szCs w:val="22"/>
              </w:rPr>
              <w:t xml:space="preserve">지침_AI_조직역할성과관리.md</w:t>
            </w:r>
          </w:p>
        </w:tc>
        <w:tc>
          <w:tcPr>
            <w:tcW w:type="dxa" w:w="48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변화관리·커뮤니케이션, AX팀-현업 R&amp;R 매트릭스, 우수 에이전트 인정 및 보상</w:t>
            </w:r>
          </w:p>
        </w:tc>
      </w:tr>
      <w:tr>
        <w:tc>
          <w:tcPr>
            <w:tcW w:type="dxa" w:w="18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IT-AX-GUIDE-003</w:t>
            </w:r>
          </w:p>
        </w:tc>
        <w:tc>
          <w:tcPr>
            <w:tcW w:type="dxa" w:w="21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22"/>
                <w:szCs w:val="22"/>
              </w:rPr>
              <w:t xml:space="preserve">가이드라인_AI_거버넌스.md</w:t>
            </w:r>
          </w:p>
        </w:tc>
        <w:tc>
          <w:tcPr>
            <w:tcW w:type="dxa" w:w="48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선택·개발환경·에이전트 설계 실무·배포 환경 선택</w:t>
            </w:r>
          </w:p>
        </w:tc>
      </w:tr>
      <w:tr>
        <w:tc>
          <w:tcPr>
            <w:tcW w:type="dxa" w:w="181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IT-AX-GOV-001</w:t>
            </w:r>
          </w:p>
        </w:tc>
        <w:tc>
          <w:tcPr>
            <w:tcW w:type="dxa" w:w="213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22"/>
                <w:szCs w:val="22"/>
              </w:rPr>
              <w:t xml:space="preserve">운영방안_AX위원회.md</w:t>
            </w:r>
          </w:p>
        </w:tc>
        <w:tc>
          <w:tcPr>
            <w:tcW w:type="dxa" w:w="48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협의체 구성·임무·회의 운영·AX팀 역할 분담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5A5A5A"/>
          <w:sz w:val="18"/>
          <w:szCs w:val="18"/>
        </w:rPr>
        <w:t xml:space="preserve">AX/PI센터 AX팀 | IT-AX-REG-001 | v6.4 | 2026-07-06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AAAAAA" w:sz="6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문서 정보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400"/>
        <w:gridCol w:w="7366"/>
      </w:tblGrid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문서번호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IT-AX-REG-001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버전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v6.4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/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2026-07-06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소관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AX/PI센터 AX팀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적용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AX/PI센터 전 임직원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참조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금융감독원 AI RMF(2026-06-22), 금융위 AI 가이드라인(2026-06-22)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 w:space="3"/>
      </w:pBdr>
      <w:spacing w:before="60"/>
      <w:jc w:val="right"/>
    </w:pPr>
    <w:r>
      <w:rPr>
        <w:rFonts w:ascii="Batang" w:cs="Batang" w:eastAsia="Batang" w:hAnsi="Batang"/>
        <w:color w:val="1C1C1C"/>
        <w:sz w:val="18"/>
        <w:szCs w:val="18"/>
      </w:rPr>
      <w:t xml:space="preserve">AX/PI센터 AX팀  |  2026-07-06  | 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Batang" w:cs="Batang" w:eastAsia="Batang" w:hAnsi="Batang"/>
        <w:color w:val="1C1C1C"/>
        <w:sz w:val="18"/>
        <w:szCs w:val="18"/>
      </w:rPr>
      <w:t xml:space="preserve"> /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3"/>
      </w:pBdr>
      <w:tabs>
        <w:tab w:val="right" w:pos="8766"/>
      </w:tabs>
      <w:spacing w:after="60"/>
    </w:pPr>
    <w:r>
      <w:rPr>
        <w:rFonts w:ascii="Batang" w:cs="Batang" w:eastAsia="Batang" w:hAnsi="Batang"/>
        <w:b/>
        <w:bCs/>
        <w:color w:val="1C1C1C"/>
        <w:sz w:val="18"/>
        <w:szCs w:val="18"/>
      </w:rPr>
      <w:t xml:space="preserve">삼성자산운용 주식회사  </w:t>
    </w:r>
    <w:r>
      <w:rPr>
        <w:rFonts w:ascii="Batang" w:cs="Batang" w:eastAsia="Batang" w:hAnsi="Batang"/>
        <w:color w:val="1C1C1C"/>
        <w:sz w:val="18"/>
        <w:szCs w:val="18"/>
      </w:rPr>
      <w:t xml:space="preserve">AI 거버넌스 규정</w:t>
    </w:r>
    <w:r>
      <w:rPr>
        <w:rFonts w:ascii="Batang" w:cs="Batang" w:eastAsia="Batang" w:hAnsi="Batang"/>
        <w:color w:val="1C1C1C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color w:val="1C1C1C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80" w:line="312" w:lineRule="auto"/>
      <w:outlineLvl w:val="1"/>
    </w:pPr>
    <w:rPr>
      <w:rFonts w:ascii="Batang" w:cs="Batang" w:eastAsia="Batang" w:hAnsi="Batang"/>
      <w:b/>
      <w:bCs/>
      <w:color w:val="1C1C1C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 w:line="312" w:lineRule="auto"/>
      <w:outlineLvl w:val="2"/>
    </w:pPr>
    <w:rPr>
      <w:rFonts w:ascii="Batang" w:cs="Batang" w:eastAsia="Batang" w:hAnsi="Batang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2026-07-06T10:43:19.648Z</dcterms:created>
  <dcterms:modified xsi:type="dcterms:W3CDTF">2026-07-06T10:43:19.648Z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