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/>
      </w:pPr>
      <w:r>
        <w:t xml:space="preserve"/>
      </w:r>
    </w:p>
    <w:p>
      <w:pPr>
        <w:spacing w:after="4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24"/>
          <w:szCs w:val="24"/>
        </w:rPr>
        <w:t xml:space="preserve">삼성자산운용 주식회사</w:t>
      </w:r>
    </w:p>
    <w:p>
      <w:pPr>
        <w:spacing w:after="160" w:before="0" w:line="312" w:lineRule="auto"/>
        <w:ind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0"/>
          <w:szCs w:val="20"/>
        </w:rPr>
        <w:t xml:space="preserve">AX/PI센터 AX팀</w:t>
      </w:r>
    </w:p>
    <w:p>
      <w:pPr>
        <w:pBdr>
          <w:bottom w:val="single" w:color="AAAAAA" w:sz="8"/>
        </w:pBdr>
        <w:spacing w:after="240"/>
      </w:pPr>
      <w:r>
        <w:t xml:space="preserve"/>
      </w:r>
    </w:p>
    <w:p>
      <w:pP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64"/>
          <w:szCs w:val="64"/>
        </w:rPr>
        <w:t xml:space="preserve">AI 과제 심사·운영 지침</w:t>
      </w:r>
    </w:p>
    <w:p>
      <w:pPr>
        <w:spacing w:after="3200"/>
      </w:pPr>
      <w:r>
        <w:t xml:space="preserve"/>
      </w:r>
    </w:p>
    <w:tbl>
      <w:tblPr>
        <w:tblW w:type="dxa" w:w="4400"/>
        <w:jc w:val="right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300"/>
        <w:gridCol w:w="3100"/>
      </w:tblGrid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IT-AX-OPS-002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버전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최종 수정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2026-07-06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운영 지침 (AX팀·AI CREW·부서장)</w:t>
            </w:r>
          </w:p>
        </w:tc>
      </w:tr>
      <w:tr>
        <w:tc>
          <w:tcPr>
            <w:tcW w:type="dxa" w:w="13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0"/>
                <w:szCs w:val="20"/>
              </w:rPr>
              <w:t xml:space="preserve">소관 부서</w:t>
            </w:r>
          </w:p>
        </w:tc>
        <w:tc>
          <w:tcPr>
            <w:tcW w:type="dxa" w:w="31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0"/>
                <w:szCs w:val="20"/>
              </w:rPr>
              <w:t xml:space="preserve">AX/PI센터 AX팀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 w:before="0" w:line="312" w:lineRule="auto"/>
        <w:ind w:right="0"/>
        <w:jc w:val="right"/>
      </w:pPr>
      <w:r>
        <w:rPr>
          <w:rFonts w:ascii="Batang" w:cs="Batang" w:eastAsia="Batang" w:hAnsi="Batang"/>
          <w:b w:val="false"/>
          <w:bCs w:val="false"/>
          <w:color w:val="1C1C1C"/>
          <w:sz w:val="18"/>
          <w:szCs w:val="18"/>
        </w:rPr>
        <w:t xml:space="preserve">내부용 (Internal Use Only)</w:t>
      </w:r>
    </w:p>
    <w:p>
      <w:r>
        <w:br w:type="page"/>
      </w:r>
    </w:p>
    <w:p>
      <w:pPr>
        <w:pBdr>
          <w:bottom w:val="single" w:color="AAAAAA" w:sz="10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4"/>
          <w:szCs w:val="34"/>
        </w:rPr>
        <w:t xml:space="preserve">목차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제1조(목적)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제2조(적용 범위)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제3조(용어의 정의)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AI CREW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제4조(AI CREW의 역할)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제5조(AI CREW 등급 체계)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AI 과제 추진 단계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제6조(단계 구분 및 원칙)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제7조(단계별 산출물 및 기준)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관련 부서 협조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제8조(협조 요청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제9조(AX 위원회 상정 절차)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제5장 과제 정의서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제10조(과제 정의서 v0 서식)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제11조(과제 정의서 v1 추가 서식)</w:t>
      </w:r>
    </w:p>
    <w:p>
      <w:pPr>
        <w:spacing w:after="0" w:before="22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제6장 과제 자동 평가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제12조(6차원 평가 기준)</w:t>
      </w:r>
    </w:p>
    <w:p>
      <w:pPr>
        <w:spacing w:after="0" w:before="0" w:line="312" w:lineRule="auto"/>
        <w:ind w:left="400" w:right="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28"/>
          <w:szCs w:val="28"/>
        </w:rPr>
        <w:t xml:space="preserve">제13조(평가 결과 처리)</w:t>
      </w:r>
    </w:p>
    <w:p>
      <w:r>
        <w:br w:type="page"/>
      </w:r>
    </w:p>
    <w:p>
      <w:pPr>
        <w:pBdr>
          <w:bottom w:val="single" w:color="AAAAAA" w:sz="10" w:space="4"/>
        </w:pBdr>
        <w:spacing w:after="0" w:before="0" w:line="312" w:lineRule="auto"/>
        <w:ind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AI 과제 심사·운영 지침</w:t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제1장 총칙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제1조(목적)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지침은 「AI 거버넌스 규정」(IT-AX-REG-001)에서 위임한 사항과 AI 과제의 발굴·기획·심사·운영에 필요한 세부 기준을 정함을 목적으로 한다.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제2조(적용 범위)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이 지침은 삼성자산운용 전 임직원 중 AI 과제를 발굴·신청하는 AI CREW, 과제를 접수·심사·운영하는 AX팀, 및 현업 부서장에게 적용한다.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AI 솔루션 유형 2 이상에 해당하는 과제는 이 지침에서 정한 Phase Gate 절차를 반드시 준수하여야 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제3조(용어의 정의)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이 지침에서 사용하는 용어의 정의는 다음과 같다.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"AI CREW"란 각 부서에서 AI 활용을 선도하고 AX팀과 소통하는 현업 담당자를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"Phase Gate"란 AI 과제가 다음 단계로 진입하기 위해 충족하여야 하는 조건 및 승인 절차를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"과제 정의서"란 AI 과제의 목적·범위·위험등급·KPI·비용 등을 기재한 표준 서식을 말한다.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"스코어카드"란 AI 과제를 6개 차원에서 정량 평가하는 자동 평가 체계를 말한다.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제2장 AI CREW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제4조(AI CREW의 역할)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AI CREW는 다음 각 호의 역할을 수행한다.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부서 내 현행 업무(As-Is) 진단 및 혁신 기회 발굴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AI 활용 사례 발굴 및 AX팀 창구 역할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과제 정의서 v0 작성 및 제출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④ 파일럿 단계 UAT 수행 및 현업 검증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제5조(AI CREW 등급 체계)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CREW는 역량에 따라 3단계로 구분하며, AX팀이 등급별 지원을 제공한다.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124"/>
        <w:gridCol w:w="1049"/>
        <w:gridCol w:w="3521"/>
        <w:gridCol w:w="3072"/>
      </w:tblGrid>
      <w:tr>
        <w:tc>
          <w:tcPr>
            <w:tcW w:type="dxa" w:w="1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등급</w:t>
            </w:r>
          </w:p>
        </w:tc>
        <w:tc>
          <w:tcPr>
            <w:tcW w:type="dxa" w:w="10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명칭</w:t>
            </w:r>
          </w:p>
        </w:tc>
        <w:tc>
          <w:tcPr>
            <w:tcW w:type="dxa" w:w="35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  <w:tc>
          <w:tcPr>
            <w:tcW w:type="dxa" w:w="30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AX팀 지원</w:t>
            </w:r>
          </w:p>
        </w:tc>
      </w:tr>
      <w:tr>
        <w:tc>
          <w:tcPr>
            <w:tcW w:type="dxa" w:w="1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Lv.1 탐색</w:t>
            </w:r>
          </w:p>
        </w:tc>
        <w:tc>
          <w:tcPr>
            <w:tcW w:type="dxa" w:w="10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탐색자</w:t>
            </w:r>
          </w:p>
        </w:tc>
        <w:tc>
          <w:tcPr>
            <w:tcW w:type="dxa" w:w="35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No-Code 도구 활용 가능, 과제 아이디어 발굴 단계</w:t>
            </w:r>
          </w:p>
        </w:tc>
        <w:tc>
          <w:tcPr>
            <w:tcW w:type="dxa" w:w="30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기초 교육 자료 제공, 사용 가이드 안내</w:t>
            </w:r>
          </w:p>
        </w:tc>
      </w:tr>
      <w:tr>
        <w:tc>
          <w:tcPr>
            <w:tcW w:type="dxa" w:w="1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Lv.2 실험</w:t>
            </w:r>
          </w:p>
        </w:tc>
        <w:tc>
          <w:tcPr>
            <w:tcW w:type="dxa" w:w="10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실험자</w:t>
            </w:r>
          </w:p>
        </w:tc>
        <w:tc>
          <w:tcPr>
            <w:tcW w:type="dxa" w:w="35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Low-Code 프로토타입 구성 가능, 파일럿 UAT 수행 경험 보유</w:t>
            </w:r>
          </w:p>
        </w:tc>
        <w:tc>
          <w:tcPr>
            <w:tcW w:type="dxa" w:w="30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샌드박스 환경 제공, 1:1 기술 자문</w:t>
            </w:r>
          </w:p>
        </w:tc>
      </w:tr>
      <w:tr>
        <w:tc>
          <w:tcPr>
            <w:tcW w:type="dxa" w:w="1124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Lv.3 개발</w:t>
            </w:r>
          </w:p>
        </w:tc>
        <w:tc>
          <w:tcPr>
            <w:tcW w:type="dxa" w:w="1049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혁신자</w:t>
            </w:r>
          </w:p>
        </w:tc>
        <w:tc>
          <w:tcPr>
            <w:tcW w:type="dxa" w:w="352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Pro-Code 개발 참여 가능, APA 또는 에이전트 구현 경험 보유</w:t>
            </w:r>
          </w:p>
        </w:tc>
        <w:tc>
          <w:tcPr>
            <w:tcW w:type="dxa" w:w="307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 공동 개발, 고급 템플릿·패턴 공유, 우선 과제 배정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등급은 AX팀이 과제 참여 이력과 역량을 기반으로 부여하며 연 1회 이상 갱신한다.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AI CREW 자원은 AX팀에 직접 문의하여 신청하며, AX팀이 배정 부서를 조율한다.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제3장 AI 과제 추진 단계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제6조(단계 구분 및 원칙)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AI 솔루션 유형 2 이상 과제는 Phase  Phase 의 단계를 순서대로 진행한다.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단계 건너뛰기는 어떠한 경우에도 금지한다.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제7조(단계별 산출물 및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각 단계의 담당, 산출물, 진입 기준은 다음과 같다.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441"/>
        <w:gridCol w:w="1381"/>
        <w:gridCol w:w="1801"/>
        <w:gridCol w:w="4143"/>
      </w:tblGrid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단계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담당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산출물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1 발굴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As-Is 업무 분석, 아이디어 메모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도입 전 현행 프로세스 진단 필수. AI 없이도 개선 가능한지 먼저 검토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2 기획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+ AX팀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v0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접수 후 결과 통보: 저위험·G1 → 5영업일 / 중위험·G2 → 10영업일 / 고위험·G3 → 15영업일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3 설계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 정의서 v1, 설계 리뷰서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시 컴플라이언스 사전 검토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4 MVP 개발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MVP, 테스트 결과서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 이상: 개발 단계 실 데이터 사용 금지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5 심사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심사 보고서, 위험 평가서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자동 평가 70점 이상 → 파일럿 진입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6 파일럿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CREW + AX팀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UAT 결과, KPI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중위험 4~6주 / 고위험 8주</w:t>
            </w:r>
          </w:p>
        </w:tc>
      </w:tr>
      <w:tr>
        <w:tc>
          <w:tcPr>
            <w:tcW w:type="dxa" w:w="144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7 운영</w:t>
            </w:r>
          </w:p>
        </w:tc>
        <w:tc>
          <w:tcPr>
            <w:tcW w:type="dxa" w:w="138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AX팀</w:t>
            </w:r>
          </w:p>
        </w:tc>
        <w:tc>
          <w:tcPr>
            <w:tcW w:type="dxa" w:w="180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Agent ID, 운영 명세서</w:t>
            </w:r>
          </w:p>
        </w:tc>
        <w:tc>
          <w:tcPr>
            <w:tcW w:type="dxa" w:w="414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위험등급별 승인 후 배포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제4장 관련 부서 협조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제8조(협조 요청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AX팀이 과제 파이프라인을 주관하며, 아래 단계에서 관련 부서 협조를 요청한다.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2711"/>
        <w:gridCol w:w="3555"/>
        <w:gridCol w:w="2500"/>
      </w:tblGrid>
      <w:tr>
        <w:tc>
          <w:tcPr>
            <w:tcW w:type="dxa" w:w="27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Phase</w:t>
            </w:r>
          </w:p>
        </w:tc>
        <w:tc>
          <w:tcPr>
            <w:tcW w:type="dxa" w:w="35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협조 내용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관련 부서</w:t>
            </w:r>
          </w:p>
        </w:tc>
      </w:tr>
      <w:tr>
        <w:tc>
          <w:tcPr>
            <w:tcW w:type="dxa" w:w="27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3 설계</w:t>
            </w:r>
          </w:p>
        </w:tc>
        <w:tc>
          <w:tcPr>
            <w:tcW w:type="dxa" w:w="35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G2 인프라 가용성 확인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AI데이터플랫폼팀</w:t>
            </w:r>
          </w:p>
        </w:tc>
      </w:tr>
      <w:tr>
        <w:tc>
          <w:tcPr>
            <w:tcW w:type="dxa" w:w="27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5 심사</w:t>
            </w:r>
          </w:p>
        </w:tc>
        <w:tc>
          <w:tcPr>
            <w:tcW w:type="dxa" w:w="35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보안 검토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정보전략팀</w:t>
            </w:r>
          </w:p>
        </w:tc>
      </w:tr>
      <w:tr>
        <w:tc>
          <w:tcPr>
            <w:tcW w:type="dxa" w:w="27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5 심사</w:t>
            </w:r>
          </w:p>
        </w:tc>
        <w:tc>
          <w:tcPr>
            <w:tcW w:type="dxa" w:w="35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컴플라이언스 검토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컴플라이언스</w:t>
            </w:r>
          </w:p>
        </w:tc>
      </w:tr>
      <w:tr>
        <w:tc>
          <w:tcPr>
            <w:tcW w:type="dxa" w:w="27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7 운영</w:t>
            </w:r>
          </w:p>
        </w:tc>
        <w:tc>
          <w:tcPr>
            <w:tcW w:type="dxa" w:w="35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시스템 운영 유지보수 인수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IT업무개발팀</w:t>
            </w:r>
          </w:p>
        </w:tc>
      </w:tr>
      <w:tr>
        <w:tc>
          <w:tcPr>
            <w:tcW w:type="dxa" w:w="2711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Phase 7 운영</w:t>
            </w:r>
          </w:p>
        </w:tc>
        <w:tc>
          <w:tcPr>
            <w:tcW w:type="dxa" w:w="3555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고위험 과제 최종 승인</w:t>
            </w:r>
          </w:p>
        </w:tc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위원회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각 부서의 세부 역할은 별도 협의를 통해 확정한다.</w:t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제9조(AX 위원회 상정 절차)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고위험 과제 중 투자·운용 실행, 공시·법정문서, 컴플라이언스 판정 업무에 해당하는 과제는 운영 승격 전 AX 위원회 승인을 받아야 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제1항에 따른 상정 절차는 다음 각 호와 같다.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AX팀장이 심사 보고서(과제 개요·위험 평가·KPI·파일럿 결과)를 작성한다.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정기회의 또는 임시회의 안건으로 상정한다.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위원회 의결 후 AX팀이 Agent ID를 발급하고 운영을 개시한다.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③ 위원회 구성·임무·회의 운영 세부사항은 「운영방안_AX위원회」(IT-AX-GOV-001)에 따른다.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제5장 과제 정의서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제10조(과제 정의서 v0 서식)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Phase 2 기획 단계에서 AI CREW가 작성하는 과제 정의서 v0의 필수 기재 항목은 다음과 같다.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626"/>
        <w:gridCol w:w="5140"/>
      </w:tblGrid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과제명 / 부서 / AI CREW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현행 업무 프로세스 (As-Is)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현재 어떻게 하고 있는지, 어디서 병목이 생기는지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업무 문제 정의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기대 효과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솔루션 유형 (예상)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1~4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위험등급 (예상)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고/중/저</w:t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활용 데이터 및 기밀등급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6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준비 상태</w:t>
            </w:r>
          </w:p>
        </w:tc>
        <w:tc>
          <w:tcPr>
            <w:tcW w:type="dxa" w:w="51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제11조(과제 정의서 v1 추가 서식)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Phase 3 설계 단계에서 AX팀이 v0를 기반으로 작성하는 과제 정의서 v1의 추가 필수 기재 항목은 다음과 같다.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3963"/>
        <w:gridCol w:w="4803"/>
      </w:tblGrid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항목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내용</w:t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AI 모델·인프라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Human-in-the-loop 설계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Kill Switch 설계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유형 3·4 필수</w:t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실패 시 행동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알림·롤백·중단</w:t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감사 로그 설계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기록 항목·보존 기간</w:t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성공 KPI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측정 방법·데이터 소스·목표값 사전 합의 필수</w:t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비용 예산 (USD)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  <w:tr>
        <w:tc>
          <w:tcPr>
            <w:tcW w:type="dxa" w:w="396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월 예상 토큰 사용량</w:t>
            </w:r>
          </w:p>
        </w:tc>
        <w:tc>
          <w:tcPr>
            <w:tcW w:type="dxa" w:w="4803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sz w:val="30"/>
                <w:szCs w:val="3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성공 KPI의 측정 방법·데이터 소스·목표값은 반드시 사전에 합의하여야 하며, 이 기재가 없는 항목은 우수 에이전트 보상 평가에서 0점으로 처리한다.</w:t>
      </w:r>
    </w:p>
    <w:p>
      <w:pPr>
        <w:pBdr>
          <w:bottom w:val="single" w:color="AAAAAA" w:sz="3" w:space="2"/>
          <w:left w:val="single" w:color="AAAAAA" w:sz="18" w:space="8"/>
        </w:pBdr>
        <w:spacing w:after="0" w:before="0" w:line="312" w:lineRule="auto"/>
        <w:ind w:left="0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제6장 과제 자동 평가</w:t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제12조(6차원 평가 기준)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과제 정의서 v0 접수 시 다음 6개 차원을 기준으로 100점 만점의 자동 평가를 실시한다.</w:t>
      </w:r>
    </w:p>
    <w:p>
      <w:pPr>
        <w:spacing w:after="4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D0D9E8" w:sz="2"/>
          <w:left w:val="single" w:color="D0D9E8" w:sz="2"/>
          <w:bottom w:val="single" w:color="D0D9E8" w:sz="2"/>
          <w:right w:val="single" w:color="D0D9E8" w:sz="2"/>
          <w:insideH w:val="single" w:color="auto" w:sz="4"/>
          <w:insideV w:val="single" w:color="auto" w:sz="4"/>
        </w:tblBorders>
      </w:tblPr>
      <w:tblGrid>
        <w:gridCol w:w="1297"/>
        <w:gridCol w:w="832"/>
        <w:gridCol w:w="6637"/>
      </w:tblGrid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차원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배점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기준</w:t>
            </w:r>
          </w:p>
        </w:tc>
      </w:tr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임팩트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25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영향 인원·빈도·전략 정합성</w:t>
            </w:r>
          </w:p>
        </w:tc>
      </w:tr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ROI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25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시간·비용 절감 및 수익 기여를 산정하여 기재. 정량화가 어려운 경우 정성적 근거와 함께 작성</w:t>
            </w:r>
          </w:p>
        </w:tc>
      </w:tr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기밀등급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15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G1 고배점, G3 저배점</w:t>
            </w:r>
          </w:p>
        </w:tc>
      </w:tr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난이도 역산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15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낮은 난이도 = 고점</w:t>
            </w:r>
          </w:p>
        </w:tc>
      </w:tr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현업 준비도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10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데이터 가용성, AI CREW 유무</w:t>
            </w:r>
          </w:p>
        </w:tc>
      </w:tr>
      <w:tr>
        <w:tc>
          <w:tcPr>
            <w:tcW w:type="dxa" w:w="129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전략 정합성</w:t>
            </w:r>
          </w:p>
        </w:tc>
        <w:tc>
          <w:tcPr>
            <w:tcW w:type="dxa" w:w="832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10</w:t>
            </w:r>
          </w:p>
        </w:tc>
        <w:tc>
          <w:tcPr>
            <w:tcW w:type="dxa" w:w="6637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 w:val="false"/>
                <w:bCs w:val="false"/>
                <w:color w:val="1C1C1C"/>
                <w:sz w:val="24"/>
                <w:szCs w:val="24"/>
              </w:rPr>
              <w:t xml:space="preserve">AX 로드맵 과제 연관성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</w:pPr>
      <w:r>
        <w:t xml:space="preserve"/>
      </w:r>
    </w:p>
    <w:p>
      <w:pPr>
        <w:pBdr>
          <w:bottom w:val="single" w:color="AAAAAA" w:sz="2" w:space="2"/>
        </w:pBdr>
        <w:spacing w:after="0" w:before="312" w:line="312" w:lineRule="auto"/>
        <w:ind w:left="198" w:right="0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제13조(평가 결과 처리)</w:t>
      </w:r>
    </w:p>
    <w:p>
      <w:pPr>
        <w:spacing w:after="40"/>
      </w:pPr>
      <w:r>
        <w:t xml:space="preserve"/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① 자동 평가 결과에 따른 처리 기준은 다음과 같다.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1.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70점 이상 + G1/G2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PoC 승인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2.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70점 미만 또는 G3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AX팀장 판단</w:t>
      </w:r>
    </w:p>
    <w:p>
      <w:pPr>
        <w:spacing w:after="0" w:before="0" w:line="312" w:lineRule="auto"/>
        <w:ind w:left="558" w:right="0" w:hanging="36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3. </w:t>
      </w: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68~72점 경계 구간</w:t>
      </w: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: 팀장 직접 검토. 자동 처리 금지</w:t>
      </w:r>
    </w:p>
    <w:p>
      <w:pPr>
        <w:spacing w:after="0" w:before="0" w:line="312" w:lineRule="auto"/>
        <w:ind w:left="478" w:right="0" w:hanging="280"/>
        <w:jc w:val="left"/>
      </w:pPr>
      <w:r>
        <w:rPr>
          <w:rFonts w:ascii="Batang" w:cs="Batang" w:eastAsia="Batang" w:hAnsi="Batang"/>
          <w:b w:val="false"/>
          <w:bCs w:val="false"/>
          <w:color w:val="1C1C1C"/>
          <w:sz w:val="30"/>
          <w:szCs w:val="30"/>
        </w:rPr>
        <w:t xml:space="preserve">② AX팀장은 경계 구간 과제에 대하여 5영업일 이내에 승인 또는 반려 결정을 통보하여야 한다.</w:t>
      </w:r>
    </w:p>
    <w:p>
      <w:pPr>
        <w:spacing w:after="40" w:before="40" w:line="312" w:lineRule="auto"/>
        <w:ind w:left="198" w:right="0" w:hanging="198"/>
        <w:jc w:val="left"/>
      </w:pPr>
      <w:r>
        <w:rPr>
          <w:rFonts w:ascii="Batang" w:cs="Batang" w:eastAsia="Batang" w:hAnsi="Batang"/>
          <w:b w:val="false"/>
          <w:bCs w:val="false"/>
          <w:color w:val="5A5A5A"/>
          <w:sz w:val="18"/>
          <w:szCs w:val="18"/>
        </w:rPr>
        <w:t xml:space="preserve">AX/PI센터 AX팀 | IT-AX-OPS-002 | v1.0 | 2026-07-06</w:t>
      </w:r>
    </w:p>
    <w:p>
      <w:r>
        <w:br w:type="page"/>
      </w:r>
    </w:p>
    <w:p>
      <w:pPr>
        <w:pBdr>
          <w:bottom w:val="single" w:color="AAAAAA" w:sz="6" w:space="4"/>
        </w:pBdr>
        <w:spacing w:after="160" w:before="0" w:line="312" w:lineRule="auto"/>
        <w:jc w:val="left"/>
      </w:pPr>
      <w:r>
        <w:rPr>
          <w:rFonts w:ascii="Batang" w:cs="Batang" w:eastAsia="Batang" w:hAnsi="Batang"/>
          <w:b/>
          <w:bCs/>
          <w:color w:val="1C1C1C"/>
          <w:sz w:val="30"/>
          <w:szCs w:val="30"/>
        </w:rPr>
        <w:t xml:space="preserve">문서 정보</w:t>
      </w:r>
    </w:p>
    <w:p>
      <w:pPr>
        <w:spacing w:after="80"/>
      </w:pPr>
      <w:r>
        <w:t xml:space="preserve"/>
      </w:r>
    </w:p>
    <w:tbl>
      <w:tblPr>
        <w:tblW w:type="dxa" w:w="8766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uto" w:sz="4"/>
          <w:insideV w:val="single" w:color="auto" w:sz="4"/>
        </w:tblBorders>
      </w:tblPr>
      <w:tblGrid>
        <w:gridCol w:w="1400"/>
        <w:gridCol w:w="7366"/>
      </w:tblGrid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문서번호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IT-AX-OPS-002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버전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/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2026-07-06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소관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AX/PI센터 AX팀</w:t>
            </w:r>
          </w:p>
        </w:tc>
      </w:tr>
      <w:tr>
        <w:tc>
          <w:tcPr>
            <w:tcW w:type="dxa" w:w="14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b/>
                <w:bCs/>
                <w:color w:val="1C1C1C"/>
                <w:sz w:val="24"/>
                <w:szCs w:val="24"/>
              </w:rPr>
              <w:t xml:space="preserve">적용</w:t>
            </w:r>
          </w:p>
        </w:tc>
        <w:tc>
          <w:tcPr>
            <w:tcW w:type="dxa" w:w="736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Batang" w:cs="Batang" w:eastAsia="Batang" w:hAnsi="Batang"/>
                <w:color w:val="1C1C1C"/>
                <w:sz w:val="24"/>
                <w:szCs w:val="24"/>
              </w:rPr>
              <w:t xml:space="preserve">AX팀·AI CREW·현업 부서장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 w:space="3"/>
      </w:pBdr>
      <w:spacing w:before="60"/>
      <w:jc w:val="right"/>
    </w:pPr>
    <w:r>
      <w:rPr>
        <w:rFonts w:ascii="Batang" w:cs="Batang" w:eastAsia="Batang" w:hAnsi="Batang"/>
        <w:color w:val="1C1C1C"/>
        <w:sz w:val="18"/>
        <w:szCs w:val="18"/>
      </w:rPr>
      <w:t xml:space="preserve">AX/PI센터 AX팀  |  2026-07-06  | 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Batang" w:cs="Batang" w:eastAsia="Batang" w:hAnsi="Batang"/>
        <w:color w:val="1C1C1C"/>
        <w:sz w:val="18"/>
        <w:szCs w:val="18"/>
      </w:rPr>
      <w:t xml:space="preserve"> / </w:t>
    </w:r>
    <w:r>
      <w:rPr>
        <w:rFonts w:ascii="Batang" w:cs="Batang" w:eastAsia="Batang" w:hAnsi="Batang"/>
        <w:color w:val="1C1C1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3"/>
      </w:pBdr>
      <w:tabs>
        <w:tab w:val="right" w:pos="8766"/>
      </w:tabs>
      <w:spacing w:after="60"/>
    </w:pPr>
    <w:r>
      <w:rPr>
        <w:rFonts w:ascii="Batang" w:cs="Batang" w:eastAsia="Batang" w:hAnsi="Batang"/>
        <w:b/>
        <w:bCs/>
        <w:color w:val="1C1C1C"/>
        <w:sz w:val="18"/>
        <w:szCs w:val="18"/>
      </w:rPr>
      <w:t xml:space="preserve">삼성자산운용 주식회사  </w:t>
    </w:r>
    <w:r>
      <w:rPr>
        <w:rFonts w:ascii="Batang" w:cs="Batang" w:eastAsia="Batang" w:hAnsi="Batang"/>
        <w:color w:val="1C1C1C"/>
        <w:sz w:val="18"/>
        <w:szCs w:val="18"/>
      </w:rPr>
      <w:t xml:space="preserve">AI 과제 심사·운영 지침</w:t>
    </w:r>
    <w:r>
      <w:rPr>
        <w:rFonts w:ascii="Batang" w:cs="Batang" w:eastAsia="Batang" w:hAnsi="Batang"/>
        <w:color w:val="1C1C1C"/>
        <w:sz w:val="18"/>
        <w:szCs w:val="18"/>
      </w:rPr>
      <w:t xml:space="preserve">	내부용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color w:val="1C1C1C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80" w:line="312" w:lineRule="auto"/>
      <w:outlineLvl w:val="1"/>
    </w:pPr>
    <w:rPr>
      <w:rFonts w:ascii="Batang" w:cs="Batang" w:eastAsia="Batang" w:hAnsi="Batang"/>
      <w:b/>
      <w:bCs/>
      <w:color w:val="1C1C1C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="312" w:lineRule="auto"/>
      <w:outlineLvl w:val="2"/>
    </w:pPr>
    <w:rPr>
      <w:rFonts w:ascii="Batang" w:cs="Batang" w:eastAsia="Batang" w:hAnsi="Batang"/>
      <w:b/>
      <w:bCs/>
      <w:color w:val="1C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2026-07-06T10:43:19.691Z</dcterms:created>
  <dcterms:modified xsi:type="dcterms:W3CDTF">2026-07-06T10:43:19.691Z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