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634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360" w:lineRule="auto" w:before="80" w:after="80"/>
              <w:jc w:val="center"/>
            </w:pPr>
            <w:r>
              <w:rPr>
                <w:rFonts w:ascii="Batang" w:hAnsi="Batang" w:eastAsia="바탕체"/>
                <w:b/>
                <w:sz w:val="48"/>
                <w:u w:val="none"/>
              </w:rPr>
              <w:t>AI 리터러시 레벨 운영 기준</w:t>
            </w:r>
          </w:p>
        </w:tc>
      </w:tr>
    </w:tbl>
    <w:p>
      <w:pPr>
        <w:spacing w:before="40" w:after="120" w:line="360" w:lineRule="auto"/>
        <w:jc w:val="right"/>
      </w:pPr>
      <w:r>
        <w:rPr>
          <w:rFonts w:ascii="Batang" w:hAnsi="Batang" w:eastAsia="바탕체"/>
          <w:b w:val="0"/>
          <w:sz w:val="24"/>
          <w:u w:val="none"/>
        </w:rPr>
        <w:t>AX/PI센터 AX팀</w:t>
      </w:r>
    </w:p>
    <w:p>
      <w:pPr>
        <w:spacing w:before="280" w:after="80" w:line="360" w:lineRule="auto"/>
        <w:jc w:val="center"/>
      </w:pPr>
      <w:r>
        <w:rPr>
          <w:rFonts w:ascii="Batang" w:hAnsi="Batang" w:eastAsia="바탕체"/>
          <w:b/>
          <w:sz w:val="24"/>
          <w:u w:val="none"/>
        </w:rPr>
        <w:t>부 칙(2026.07.31)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>이 규정은 2026.07.31부터 시행한다.</w:t>
      </w:r>
    </w:p>
    <w:sectPr w:rsidR="00FC693F" w:rsidRPr="0006063C" w:rsidSect="00034616">
      <w:pgSz w:w="11906" w:h="16838"/>
      <w:pgMar w:top="1417" w:right="1134" w:bottom="198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Batang" w:hAnsi="Batang" w:eastAsia="바탕체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