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에이전트 등록·운영 가이드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