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60" w:lineRule="auto" w:before="80" w:after="80"/>
              <w:jc w:val="center"/>
            </w:pPr>
            <w:r>
              <w:rPr>
                <w:rFonts w:ascii="Batang" w:hAnsi="Batang" w:eastAsia="바탕체"/>
                <w:b/>
                <w:sz w:val="48"/>
                <w:u w:val="none"/>
              </w:rPr>
              <w:t>AX 토큰 정책 운영 기준</w:t>
            </w:r>
          </w:p>
        </w:tc>
      </w:tr>
    </w:tbl>
    <w:p>
      <w:pPr>
        <w:spacing w:before="40" w:after="120" w:line="360" w:lineRule="auto"/>
        <w:jc w:val="right"/>
      </w:pPr>
      <w:r>
        <w:rPr>
          <w:rFonts w:ascii="Batang" w:hAnsi="Batang" w:eastAsia="바탕체"/>
          <w:b w:val="0"/>
          <w:sz w:val="24"/>
          <w:u w:val="none"/>
        </w:rPr>
        <w:t>AX/PI센터 AX팀</w:t>
      </w:r>
    </w:p>
    <w:p>
      <w:pPr>
        <w:spacing w:before="28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부 칙(2026.07.31)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이 규정은 2026.07.31부터 시행한다.</w:t>
      </w:r>
    </w:p>
    <w:sectPr w:rsidR="00FC693F" w:rsidRPr="0006063C" w:rsidSect="00034616">
      <w:pgSz w:w="11906" w:h="16838"/>
      <w:pgMar w:top="1417" w:right="1134" w:bottom="19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Batang" w:hAnsi="Batang" w:eastAsia="바탕체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