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12" w:lineRule="auto"/>
        <w:jc w:val="right"/>
      </w:pPr>
      <w:r>
        <w:rPr>
          <w:rFonts w:ascii="Batang" w:cs="Batang" w:eastAsia="Batang" w:hAnsi="Batang"/>
          <w:color w:val="1C1C1C"/>
          <w:sz w:val="28"/>
          <w:szCs w:val="28"/>
        </w:rPr>
        <w:t xml:space="preserve">보고: AX/PI센터장</w:t>
      </w:r>
    </w:p>
    <w:p>
      <w:pPr>
        <w:spacing w:after="200" w:before="0" w:line="312" w:lineRule="auto"/>
        <w:jc w:val="right"/>
      </w:pPr>
      <w:r>
        <w:rPr>
          <w:rFonts w:ascii="Batang" w:cs="Batang" w:eastAsia="Batang" w:hAnsi="Batang"/>
          <w:color w:val="1C1C1C"/>
          <w:sz w:val="28"/>
          <w:szCs w:val="28"/>
        </w:rPr>
        <w:t xml:space="preserve">문서번호: IT-AX-RPT-001  |  2026. 7. 6.</w:t>
      </w:r>
    </w:p>
    <w:p>
      <w:pPr>
        <w:pBdr>
          <w:bottom w:val="single" w:color="1C1C1C" w:sz="12" w:space="6"/>
        </w:pBdr>
        <w:spacing w:after="0" w:before="0" w:line="312" w:lineRule="auto"/>
        <w:jc w:val="center"/>
      </w:pPr>
      <w:r>
        <w:rPr>
          <w:rFonts w:ascii="Batang" w:cs="Batang" w:eastAsia="Batang" w:hAnsi="Batang"/>
          <w:b/>
          <w:bCs/>
          <w:color w:val="1C1C1C"/>
          <w:sz w:val="34"/>
          <w:szCs w:val="34"/>
        </w:rPr>
        <w:t xml:space="preserve">AI 거버넌스 체계 및 운영 방안</w:t>
      </w:r>
    </w:p>
    <w:p>
      <w:pPr>
        <w:spacing w:after="20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1. AX 위원회 구성 및 운영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구성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: 위원장(AX/PI센터장) · 간사(AX팀장) · 위원(준법감시인, 리스크관리팀장, AX/PI그룹장)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운영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: 월 1회 정기회의. 재적 위원 과반수 출석, 출석 위원 과반수 찬성으로 의결.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687"/>
        <w:gridCol w:w="6079"/>
      </w:tblGrid>
      <w:tr>
        <w:tc>
          <w:tcPr>
            <w:tcW w:type="dxa" w:w="26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임무</w:t>
            </w:r>
          </w:p>
        </w:tc>
        <w:tc>
          <w:tcPr>
            <w:tcW w:type="dxa" w:w="60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내용</w:t>
            </w:r>
          </w:p>
        </w:tc>
      </w:tr>
      <w:tr>
        <w:tc>
          <w:tcPr>
            <w:tcW w:type="dxa" w:w="26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고위험 AI 시스템 최종 승인</w:t>
            </w:r>
          </w:p>
        </w:tc>
        <w:tc>
          <w:tcPr>
            <w:tcW w:type="dxa" w:w="60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투자·운용 실행, 공시·법정문서, 컴플라이언스 판정 과제 운영 전 의결 필요</w:t>
            </w:r>
          </w:p>
        </w:tc>
      </w:tr>
      <w:tr>
        <w:tc>
          <w:tcPr>
            <w:tcW w:type="dxa" w:w="26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규정 개정 심의·의결</w:t>
            </w:r>
          </w:p>
        </w:tc>
        <w:tc>
          <w:tcPr>
            <w:tcW w:type="dxa" w:w="60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거버넌스 규정 개정안 심의</w:t>
            </w:r>
          </w:p>
        </w:tc>
      </w:tr>
      <w:tr>
        <w:tc>
          <w:tcPr>
            <w:tcW w:type="dxa" w:w="26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월 운영 현황 보고 수령</w:t>
            </w:r>
          </w:p>
        </w:tc>
        <w:tc>
          <w:tcPr>
            <w:tcW w:type="dxa" w:w="60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월 과제 현황·에이전트 KPI·비용·이슈 보고 수령 및 개선 지시</w:t>
            </w:r>
          </w:p>
        </w:tc>
      </w:tr>
      <w:tr>
        <w:tc>
          <w:tcPr>
            <w:tcW w:type="dxa" w:w="26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거버넌스 정책 방향 결정</w:t>
            </w:r>
          </w:p>
        </w:tc>
        <w:tc>
          <w:tcPr>
            <w:tcW w:type="dxa" w:w="60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금융 규제·감독당국 가이드라인 변화 대응 방향 결정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2. AI 에이전트 운영 관리 프로세스</w:t>
      </w:r>
    </w:p>
    <w:p>
      <w:pPr>
        <w:spacing w:after="40"/>
      </w:pPr>
      <w:r>
        <w:t xml:space="preserve"/>
      </w:r>
    </w:p>
    <w:p>
      <w:pPr>
        <w:spacing w:after="40" w:before="4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i/>
          <w:iCs/>
          <w:color w:val="5A5A5A"/>
          <w:sz w:val="18"/>
          <w:szCs w:val="18"/>
        </w:rPr>
        <w:t xml:space="preserve">(1) 에이전트 유형 분류 및 등재 기준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AI 솔루션을 자율성 기준 4단계로 분류하며, 유형 2 이상은 AX팀 과제 등록 절차 이행 필요.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010"/>
        <w:gridCol w:w="3468"/>
        <w:gridCol w:w="4288"/>
      </w:tblGrid>
      <w:tr>
        <w:tc>
          <w:tcPr>
            <w:tcW w:type="dxa" w:w="10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유형</w:t>
            </w:r>
          </w:p>
        </w:tc>
        <w:tc>
          <w:tcPr>
            <w:tcW w:type="dxa" w:w="34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정의</w:t>
            </w:r>
          </w:p>
        </w:tc>
        <w:tc>
          <w:tcPr>
            <w:tcW w:type="dxa" w:w="428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등재 요건</w:t>
            </w:r>
          </w:p>
        </w:tc>
      </w:tr>
      <w:tr>
        <w:tc>
          <w:tcPr>
            <w:tcW w:type="dxa" w:w="10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유형 1</w:t>
            </w:r>
          </w:p>
        </w:tc>
        <w:tc>
          <w:tcPr>
            <w:tcW w:type="dxa" w:w="34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규칙 기반 자동화 (AI 판단 없음)</w:t>
            </w:r>
          </w:p>
        </w:tc>
        <w:tc>
          <w:tcPr>
            <w:tcW w:type="dxa" w:w="428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없음</w:t>
            </w:r>
          </w:p>
        </w:tc>
      </w:tr>
      <w:tr>
        <w:tc>
          <w:tcPr>
            <w:tcW w:type="dxa" w:w="10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유형 2</w:t>
            </w:r>
          </w:p>
        </w:tc>
        <w:tc>
          <w:tcPr>
            <w:tcW w:type="dxa" w:w="34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직접 활용·다단계 워크플로 (사람 확인 포함)</w:t>
            </w:r>
          </w:p>
        </w:tc>
        <w:tc>
          <w:tcPr>
            <w:tcW w:type="dxa" w:w="428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 과제 등록</w:t>
            </w:r>
          </w:p>
        </w:tc>
      </w:tr>
      <w:tr>
        <w:tc>
          <w:tcPr>
            <w:tcW w:type="dxa" w:w="10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유형 3</w:t>
            </w:r>
          </w:p>
        </w:tc>
        <w:tc>
          <w:tcPr>
            <w:tcW w:type="dxa" w:w="34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AI가 도구를 자율 호출하는 에이전트</w:t>
            </w:r>
          </w:p>
        </w:tc>
        <w:tc>
          <w:tcPr>
            <w:tcW w:type="dxa" w:w="428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 등록 + Agent ID 발급 + Kill Switch 필수</w:t>
            </w:r>
          </w:p>
        </w:tc>
      </w:tr>
      <w:tr>
        <w:tc>
          <w:tcPr>
            <w:tcW w:type="dxa" w:w="10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유형 4</w:t>
            </w:r>
          </w:p>
        </w:tc>
        <w:tc>
          <w:tcPr>
            <w:tcW w:type="dxa" w:w="34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멀티 에이전트 협업 시스템</w:t>
            </w:r>
          </w:p>
        </w:tc>
        <w:tc>
          <w:tcPr>
            <w:tcW w:type="dxa" w:w="428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유형 3 요건 + AX 위원회 최종 승인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 w:before="4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i/>
          <w:iCs/>
          <w:color w:val="5A5A5A"/>
          <w:sz w:val="18"/>
          <w:szCs w:val="18"/>
        </w:rPr>
        <w:t xml:space="preserve">(2) 우수 에이전트 선정 및 보상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분기 1회 심사. 운영(Active) 90일 이상 에이전트 대상. 100점 만점 평가 (KPI 달성률 30·ROI 실현 25·지속 활용 20·문서화 15·혁신성 10).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Batang" w:cs="Batang" w:eastAsia="Batang" w:hAnsi="Batang"/>
          <w:b/>
          <w:bCs/>
          <w:color w:val="1C1C1C"/>
          <w:sz w:val="21"/>
          <w:szCs w:val="21"/>
        </w:rPr>
        <w:t xml:space="preserve">우수 에이전트 (80~89점)</w:t>
      </w:r>
      <w:r>
        <w:rPr>
          <w:rFonts w:ascii="Batang" w:cs="Batang" w:eastAsia="Batang" w:hAnsi="Batang"/>
          <w:b w:val="false"/>
          <w:bCs w:val="false"/>
          <w:color w:val="1C1C1C"/>
          <w:sz w:val="21"/>
          <w:szCs w:val="21"/>
        </w:rPr>
        <w:t xml:space="preserve">: AX팀장 포상 추천, 차기 과제 우선 배정, 사내 공유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Batang" w:cs="Batang" w:eastAsia="Batang" w:hAnsi="Batang"/>
          <w:b/>
          <w:bCs/>
          <w:color w:val="1C1C1C"/>
          <w:sz w:val="21"/>
          <w:szCs w:val="21"/>
        </w:rPr>
        <w:t xml:space="preserve">탁월 에이전트 · AX Excellence (90점 이상)</w:t>
      </w:r>
      <w:r>
        <w:rPr>
          <w:rFonts w:ascii="Batang" w:cs="Batang" w:eastAsia="Batang" w:hAnsi="Batang"/>
          <w:b w:val="false"/>
          <w:bCs w:val="false"/>
          <w:color w:val="1C1C1C"/>
          <w:sz w:val="21"/>
          <w:szCs w:val="21"/>
        </w:rPr>
        <w:t xml:space="preserve">: AX/PI센터장 표창, 성과 인센티브 연계, 전사 발표</w:t>
      </w:r>
    </w:p>
    <w:p>
      <w:pPr>
        <w:spacing w:after="40"/>
      </w:pPr>
      <w:r>
        <w:t xml:space="preserve"/>
      </w:r>
    </w:p>
    <w:p>
      <w:pPr>
        <w:spacing w:after="40" w:before="4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i/>
          <w:iCs/>
          <w:color w:val="5A5A5A"/>
          <w:sz w:val="18"/>
          <w:szCs w:val="18"/>
        </w:rPr>
        <w:t xml:space="preserve">(3) AI 산출물 내부 지식화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AI 활용 결과를 조직 자산으로 축적하기 위해 3단계로 평가, 반기 AX 위원회 보고.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</w:t>
      </w: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기록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 — 과제 정의서·프롬프트 GitHub 저장·감사 로그 완비 (분기 측정)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</w:t>
      </w: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재사용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 — Prompt Caching 적용, 기존 사례 인용, 이관 재작업율 30% 이하 관리 (반기 측정)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</w:t>
      </w: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이전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 — 담당자 교체 시에도 에이전트 독립 운영 가능 여부 확인 (반기 측정)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3. 생성형 AI 도입 및 운영</w:t>
      </w:r>
    </w:p>
    <w:p>
      <w:pPr>
        <w:spacing w:after="40"/>
      </w:pPr>
      <w:r>
        <w:t xml:space="preserve"/>
      </w:r>
    </w:p>
    <w:p>
      <w:pPr>
        <w:spacing w:after="40" w:before="4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i/>
          <w:iCs/>
          <w:color w:val="5A5A5A"/>
          <w:sz w:val="18"/>
          <w:szCs w:val="18"/>
        </w:rPr>
        <w:t xml:space="preserve">(1) 기업용 AI 모델 배분 기준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GPT(OpenAI)·Claude(Anthropic)·Gemini(Google) 3개 공급사 지원. 사용자 임의 선택 금지. CREW 등급·과제 위험등급·데이터 기밀등급 기준 AX팀 배분.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860"/>
        <w:gridCol w:w="4231"/>
        <w:gridCol w:w="2675"/>
      </w:tblGrid>
      <w:tr>
        <w:tc>
          <w:tcPr>
            <w:tcW w:type="dxa" w:w="1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CREW 등급</w:t>
            </w:r>
          </w:p>
        </w:tc>
        <w:tc>
          <w:tcPr>
            <w:tcW w:type="dxa" w:w="423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허용 모델</w:t>
            </w:r>
          </w:p>
        </w:tc>
        <w:tc>
          <w:tcPr>
            <w:tcW w:type="dxa" w:w="267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접근 경로</w:t>
            </w:r>
          </w:p>
        </w:tc>
      </w:tr>
      <w:tr>
        <w:tc>
          <w:tcPr>
            <w:tcW w:type="dxa" w:w="1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Lv.1 탐색</w:t>
            </w:r>
          </w:p>
        </w:tc>
        <w:tc>
          <w:tcPr>
            <w:tcW w:type="dxa" w:w="423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GPT Enterprise (Copilot), Claude.ai</w:t>
            </w:r>
          </w:p>
        </w:tc>
        <w:tc>
          <w:tcPr>
            <w:tcW w:type="dxa" w:w="267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사내 SSO 통합 도구, 개인 API 키 발급 불가</w:t>
            </w:r>
          </w:p>
        </w:tc>
      </w:tr>
      <w:tr>
        <w:tc>
          <w:tcPr>
            <w:tcW w:type="dxa" w:w="1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Lv.2 실험</w:t>
            </w:r>
          </w:p>
        </w:tc>
        <w:tc>
          <w:tcPr>
            <w:tcW w:type="dxa" w:w="423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위 Lv.1 + AX 샌드박스 API (Sonnet·GPT-4o·Gemini Flash)</w:t>
            </w:r>
          </w:p>
        </w:tc>
        <w:tc>
          <w:tcPr>
            <w:tcW w:type="dxa" w:w="267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 발급 공유 키, 샌드박스·G1 전용</w:t>
            </w:r>
          </w:p>
        </w:tc>
      </w:tr>
      <w:tr>
        <w:tc>
          <w:tcPr>
            <w:tcW w:type="dxa" w:w="1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Lv.3 개발 / AX 엔지니어</w:t>
            </w:r>
          </w:p>
        </w:tc>
        <w:tc>
          <w:tcPr>
            <w:tcW w:type="dxa" w:w="423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전 모델 (위험등급 준수)</w:t>
            </w:r>
          </w:p>
        </w:tc>
        <w:tc>
          <w:tcPr>
            <w:tcW w:type="dxa" w:w="267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과제별 전용 API 키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513"/>
        <w:gridCol w:w="7253"/>
      </w:tblGrid>
      <w:tr>
        <w:tc>
          <w:tcPr>
            <w:tcW w:type="dxa" w:w="1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기밀등급</w:t>
            </w:r>
          </w:p>
        </w:tc>
        <w:tc>
          <w:tcPr>
            <w:tcW w:type="dxa" w:w="725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허용 경로</w:t>
            </w:r>
          </w:p>
        </w:tc>
      </w:tr>
      <w:tr>
        <w:tc>
          <w:tcPr>
            <w:tcW w:type="dxa" w:w="1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 일반</w:t>
            </w:r>
          </w:p>
        </w:tc>
        <w:tc>
          <w:tcPr>
            <w:tcW w:type="dxa" w:w="725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모든 AI 서비스 (Copilot, Claude.ai, Google Workspace)</w:t>
            </w:r>
          </w:p>
        </w:tc>
      </w:tr>
      <w:tr>
        <w:tc>
          <w:tcPr>
            <w:tcW w:type="dxa" w:w="1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G2 내부제한</w:t>
            </w:r>
          </w:p>
        </w:tc>
        <w:tc>
          <w:tcPr>
            <w:tcW w:type="dxa" w:w="725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사내 승인 인프라 (AWS Bedrock VPC, Azure Private Endpoint)</w:t>
            </w:r>
          </w:p>
        </w:tc>
      </w:tr>
      <w:tr>
        <w:tc>
          <w:tcPr>
            <w:tcW w:type="dxa" w:w="1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G3 기밀</w:t>
            </w:r>
          </w:p>
        </w:tc>
        <w:tc>
          <w:tcPr>
            <w:tcW w:type="dxa" w:w="725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온프레미스 전용 (인터넷 차단 환경)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 w:before="4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i/>
          <w:iCs/>
          <w:color w:val="5A5A5A"/>
          <w:sz w:val="18"/>
          <w:szCs w:val="18"/>
        </w:rPr>
        <w:t xml:space="preserve">(2) 활용 현황 모니터링 및 관리 방안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AI 서비스 사용 내역을 과제·목적·보안등급별로 추적·기록하고, 전사→과제→건별 3단계 비용 한도를 설정하여 예산 초과 시 자동 차단.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192"/>
        <w:gridCol w:w="3784"/>
        <w:gridCol w:w="2790"/>
      </w:tblGrid>
      <w:tr>
        <w:tc>
          <w:tcPr>
            <w:tcW w:type="dxa" w:w="219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한도 단계</w:t>
            </w:r>
          </w:p>
        </w:tc>
        <w:tc>
          <w:tcPr>
            <w:tcW w:type="dxa" w:w="378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기준</w:t>
            </w:r>
          </w:p>
        </w:tc>
        <w:tc>
          <w:tcPr>
            <w:tcW w:type="dxa" w:w="27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초과 시 조치</w:t>
            </w:r>
          </w:p>
        </w:tc>
      </w:tr>
      <w:tr>
        <w:tc>
          <w:tcPr>
            <w:tcW w:type="dxa" w:w="219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전사 월 한도</w:t>
            </w:r>
          </w:p>
        </w:tc>
        <w:tc>
          <w:tcPr>
            <w:tcW w:type="dxa" w:w="378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전체 AI 서비스 비용 상한</w:t>
            </w:r>
          </w:p>
        </w:tc>
        <w:tc>
          <w:tcPr>
            <w:tcW w:type="dxa" w:w="27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신규 과제 착수 금지</w:t>
            </w:r>
          </w:p>
        </w:tc>
      </w:tr>
      <w:tr>
        <w:tc>
          <w:tcPr>
            <w:tcW w:type="dxa" w:w="219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과제별 월 한도</w:t>
            </w:r>
          </w:p>
        </w:tc>
        <w:tc>
          <w:tcPr>
            <w:tcW w:type="dxa" w:w="378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 등록 시 사전 확정 금액</w:t>
            </w:r>
          </w:p>
        </w:tc>
        <w:tc>
          <w:tcPr>
            <w:tcW w:type="dxa" w:w="27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해당 과제 자동 정지</w:t>
            </w:r>
          </w:p>
        </w:tc>
      </w:tr>
      <w:tr>
        <w:tc>
          <w:tcPr>
            <w:tcW w:type="dxa" w:w="219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건별 상한</w:t>
            </w:r>
          </w:p>
        </w:tc>
        <w:tc>
          <w:tcPr>
            <w:tcW w:type="dxa" w:w="378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1회 AI 호출 최대 비용</w:t>
            </w:r>
          </w:p>
        </w:tc>
        <w:tc>
          <w:tcPr>
            <w:tcW w:type="dxa" w:w="27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해당 요청 차단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알림 기준: 월 한도 80% 도달 시 AX팀장·담당 CREW 통보 / 100% 도달 시 고위험 과제 자동 정지 / 전주 대비 사용량 2배 초과 시 24시간 내 원인 파악·조치.</w:t>
      </w:r>
    </w:p>
    <w:p>
      <w:pPr>
        <w:spacing w:after="40"/>
      </w:pPr>
      <w:r>
        <w:t xml:space="preserve"/>
      </w:r>
    </w:p>
    <w:p>
      <w:pPr>
        <w:spacing w:after="40" w:before="4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i/>
          <w:iCs/>
          <w:color w:val="5A5A5A"/>
          <w:sz w:val="18"/>
          <w:szCs w:val="18"/>
        </w:rPr>
        <w:t xml:space="preserve">(3) AI 리터러시 제고 방안 — AI CREW 체계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AI를 "쓰는 사람"에서 "과제를 설계하는 사람"으로 키우기 위해, 전 임직원 중 AI 과제 선도 담당자를 'AI CREW'로 선발·운영. 코딩 경험 없이도 Lv.1부터 진입 가능하며, 성과에 따라 AX팀이 등급 부여·갱신(연 1회 이상).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150"/>
        <w:gridCol w:w="3115"/>
        <w:gridCol w:w="2565"/>
        <w:gridCol w:w="1936"/>
      </w:tblGrid>
      <w:tr>
        <w:tc>
          <w:tcPr>
            <w:tcW w:type="dxa" w:w="11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등급</w:t>
            </w:r>
          </w:p>
        </w:tc>
        <w:tc>
          <w:tcPr>
            <w:tcW w:type="dxa" w:w="311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역할</w:t>
            </w:r>
          </w:p>
        </w:tc>
        <w:tc>
          <w:tcPr>
            <w:tcW w:type="dxa" w:w="256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AX팀 지원</w:t>
            </w:r>
          </w:p>
        </w:tc>
        <w:tc>
          <w:tcPr>
            <w:tcW w:type="dxa" w:w="19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진입 조건</w:t>
            </w:r>
          </w:p>
        </w:tc>
      </w:tr>
      <w:tr>
        <w:tc>
          <w:tcPr>
            <w:tcW w:type="dxa" w:w="11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Lv.1 탐색</w:t>
            </w:r>
          </w:p>
        </w:tc>
        <w:tc>
          <w:tcPr>
            <w:tcW w:type="dxa" w:w="311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No-Code 도구로 업무 아이디어 발굴·간단 자동화 시도</w:t>
            </w:r>
          </w:p>
        </w:tc>
        <w:tc>
          <w:tcPr>
            <w:tcW w:type="dxa" w:w="256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기초 교육 + 30분 시작 가이드 제공</w:t>
            </w:r>
          </w:p>
        </w:tc>
        <w:tc>
          <w:tcPr>
            <w:tcW w:type="dxa" w:w="19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누구나 자원신청</w:t>
            </w:r>
          </w:p>
        </w:tc>
      </w:tr>
      <w:tr>
        <w:tc>
          <w:tcPr>
            <w:tcW w:type="dxa" w:w="11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Lv.2 실험</w:t>
            </w:r>
          </w:p>
        </w:tc>
        <w:tc>
          <w:tcPr>
            <w:tcW w:type="dxa" w:w="311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팀 내 PoC 설계, 파일럿 UAT 수행</w:t>
            </w:r>
          </w:p>
        </w:tc>
        <w:tc>
          <w:tcPr>
            <w:tcW w:type="dxa" w:w="256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 샌드박스 API 제공, 1:1 기술 자문</w:t>
            </w:r>
          </w:p>
        </w:tc>
        <w:tc>
          <w:tcPr>
            <w:tcW w:type="dxa" w:w="19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Lv.1 과제 1건 완료</w:t>
            </w:r>
          </w:p>
        </w:tc>
      </w:tr>
      <w:tr>
        <w:tc>
          <w:tcPr>
            <w:tcW w:type="dxa" w:w="11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Lv.3 개발</w:t>
            </w:r>
          </w:p>
        </w:tc>
        <w:tc>
          <w:tcPr>
            <w:tcW w:type="dxa" w:w="311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AX팀과 공동 개발, 실운영 에이전트 구축</w:t>
            </w:r>
          </w:p>
        </w:tc>
        <w:tc>
          <w:tcPr>
            <w:tcW w:type="dxa" w:w="256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공동 개발·고급 템플릿·우선 과제 배정</w:t>
            </w:r>
          </w:p>
        </w:tc>
        <w:tc>
          <w:tcPr>
            <w:tcW w:type="dxa" w:w="19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Lv.2 PoC + AX팀 심사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운영 방식: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Batang" w:cs="Batang" w:eastAsia="Batang" w:hAnsi="Batang"/>
          <w:b/>
          <w:bCs/>
          <w:color w:val="1C1C1C"/>
          <w:sz w:val="21"/>
          <w:szCs w:val="21"/>
        </w:rPr>
        <w:t xml:space="preserve">진입</w:t>
      </w:r>
      <w:r>
        <w:rPr>
          <w:rFonts w:ascii="Batang" w:cs="Batang" w:eastAsia="Batang" w:hAnsi="Batang"/>
          <w:b w:val="false"/>
          <w:bCs w:val="false"/>
          <w:color w:val="1C1C1C"/>
          <w:sz w:val="21"/>
          <w:szCs w:val="21"/>
        </w:rPr>
        <w:t xml:space="preserve">: AX팀에 자원신청 → 부서 배정·초기 교육 → Lv.1 활동 시작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Batang" w:cs="Batang" w:eastAsia="Batang" w:hAnsi="Batang"/>
          <w:b/>
          <w:bCs/>
          <w:color w:val="1C1C1C"/>
          <w:sz w:val="21"/>
          <w:szCs w:val="21"/>
        </w:rPr>
        <w:t xml:space="preserve">성과 공유</w:t>
      </w:r>
      <w:r>
        <w:rPr>
          <w:rFonts w:ascii="Batang" w:cs="Batang" w:eastAsia="Batang" w:hAnsi="Batang"/>
          <w:b w:val="false"/>
          <w:bCs w:val="false"/>
          <w:color w:val="1C1C1C"/>
          <w:sz w:val="21"/>
          <w:szCs w:val="21"/>
        </w:rPr>
        <w:t xml:space="preserve">: 완료 과제(성공·실패 모두)를 사내 채널에 사례 형태로 공유하여 조직 전체 학습 가속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Batang" w:cs="Batang" w:eastAsia="Batang" w:hAnsi="Batang"/>
          <w:b/>
          <w:bCs/>
          <w:color w:val="1C1C1C"/>
          <w:sz w:val="21"/>
          <w:szCs w:val="21"/>
        </w:rPr>
        <w:t xml:space="preserve">팀장 역할</w:t>
      </w:r>
      <w:r>
        <w:rPr>
          <w:rFonts w:ascii="Batang" w:cs="Batang" w:eastAsia="Batang" w:hAnsi="Batang"/>
          <w:b w:val="false"/>
          <w:bCs w:val="false"/>
          <w:color w:val="1C1C1C"/>
          <w:sz w:val="21"/>
          <w:szCs w:val="21"/>
        </w:rPr>
        <w:t xml:space="preserve">: 소속 CREW 자원 승인, 파일럿 기간 데이터 제공·일정 지원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Batang" w:cs="Batang" w:eastAsia="Batang" w:hAnsi="Batang"/>
          <w:b/>
          <w:bCs/>
          <w:color w:val="1C1C1C"/>
          <w:sz w:val="21"/>
          <w:szCs w:val="21"/>
        </w:rPr>
        <w:t xml:space="preserve">동기부여</w:t>
      </w:r>
      <w:r>
        <w:rPr>
          <w:rFonts w:ascii="Batang" w:cs="Batang" w:eastAsia="Batang" w:hAnsi="Batang"/>
          <w:b w:val="false"/>
          <w:bCs w:val="false"/>
          <w:color w:val="1C1C1C"/>
          <w:sz w:val="21"/>
          <w:szCs w:val="21"/>
        </w:rPr>
        <w:t xml:space="preserve">: 분기별 기여 우수 CREW를 AX/PI센터장에게 보고하여 공식 인정 및 성과 인센티브 연계 예정</w:t>
      </w:r>
    </w:p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0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 w:space="3"/>
      </w:pBdr>
      <w:spacing w:before="60"/>
      <w:jc w:val="right"/>
    </w:pPr>
    <w:r>
      <w:rPr>
        <w:rFonts w:ascii="Batang" w:cs="Batang" w:eastAsia="Batang" w:hAnsi="Batang"/>
        <w:color w:val="1C1C1C"/>
        <w:sz w:val="18"/>
        <w:szCs w:val="18"/>
      </w:rPr>
      <w:t xml:space="preserve">AX/PI센터 AX팀  |  2026-07-06  |  </w:t>
    </w:r>
    <w:r>
      <w:rPr>
        <w:rFonts w:ascii="Batang" w:cs="Batang" w:eastAsia="Batang" w:hAnsi="Batang"/>
        <w:color w:val="1C1C1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Batang" w:cs="Batang" w:eastAsia="Batang" w:hAnsi="Batang"/>
        <w:color w:val="1C1C1C"/>
        <w:sz w:val="18"/>
        <w:szCs w:val="18"/>
      </w:rPr>
      <w:t xml:space="preserve"> / </w:t>
    </w:r>
    <w:r>
      <w:rPr>
        <w:rFonts w:ascii="Batang" w:cs="Batang" w:eastAsia="Batang" w:hAnsi="Batang"/>
        <w:color w:val="1C1C1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3"/>
      </w:pBdr>
      <w:tabs>
        <w:tab w:val="right" w:pos="8766"/>
      </w:tabs>
      <w:spacing w:after="60"/>
    </w:pPr>
    <w:r>
      <w:rPr>
        <w:rFonts w:ascii="Batang" w:cs="Batang" w:eastAsia="Batang" w:hAnsi="Batang"/>
        <w:b/>
        <w:bCs/>
        <w:color w:val="1C1C1C"/>
        <w:sz w:val="18"/>
        <w:szCs w:val="18"/>
      </w:rPr>
      <w:t xml:space="preserve">삼성자산운용 주식회사  </w:t>
    </w:r>
    <w:r>
      <w:rPr>
        <w:rFonts w:ascii="Batang" w:cs="Batang" w:eastAsia="Batang" w:hAnsi="Batang"/>
        <w:color w:val="1C1C1C"/>
        <w:sz w:val="18"/>
        <w:szCs w:val="18"/>
      </w:rPr>
      <w:t xml:space="preserve">AI 거버넌스 체계 및 운영 방안</w:t>
    </w:r>
    <w:r>
      <w:rPr>
        <w:rFonts w:ascii="Batang" w:cs="Batang" w:eastAsia="Batang" w:hAnsi="Batang"/>
        <w:color w:val="1C1C1C"/>
        <w:sz w:val="18"/>
        <w:szCs w:val="18"/>
      </w:rPr>
      <w:t xml:space="preserve">	내부용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color w:val="1C1C1C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80" w:before="240" w:line="312" w:lineRule="auto"/>
      <w:outlineLvl w:val="1"/>
    </w:pPr>
    <w:rPr>
      <w:rFonts w:ascii="Batang" w:cs="Batang" w:eastAsia="Batang" w:hAnsi="Batang"/>
      <w:b/>
      <w:bCs/>
      <w:color w:val="1C1C1C"/>
      <w:sz w:val="30"/>
      <w:szCs w:val="30"/>
    </w:rPr>
  </w:style>
  <w:style w:type="paragraph" w:styleId="Heading3">
    <w:name w:val="Heading 3"/>
    <w:basedOn w:val="Normal"/>
    <w:next w:val="Normal"/>
    <w:pPr>
      <w:spacing w:after="60" w:before="160" w:line="312" w:lineRule="auto"/>
      <w:outlineLvl w:val="2"/>
    </w:pPr>
    <w:rPr>
      <w:rFonts w:ascii="Batang" w:cs="Batang" w:eastAsia="Batang" w:hAnsi="Batang"/>
      <w:b/>
      <w:bCs/>
      <w:color w:val="1C1C1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2026-07-06T10:43:19.910Z</dcterms:created>
  <dcterms:modified xsi:type="dcterms:W3CDTF">2026-07-06T10:43:19.910Z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