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  <w:r>
        <w:t xml:space="preserve"/>
      </w:r>
    </w:p>
    <w:p>
      <w:pPr>
        <w:spacing w:after="4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24"/>
          <w:szCs w:val="24"/>
        </w:rPr>
        <w:t xml:space="preserve">삼성자산운용 주식회사</w:t>
      </w:r>
    </w:p>
    <w:p>
      <w:pPr>
        <w:spacing w:after="160" w:before="0" w:line="312" w:lineRule="auto"/>
        <w:ind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0"/>
          <w:szCs w:val="20"/>
        </w:rPr>
        <w:t xml:space="preserve">AX/PI센터 AX팀</w:t>
      </w:r>
    </w:p>
    <w:p>
      <w:pPr>
        <w:pBdr>
          <w:bottom w:val="single" w:color="AAAAAA" w:sz="8"/>
        </w:pBdr>
        <w:spacing w:after="240"/>
      </w:pPr>
      <w:r>
        <w:t xml:space="preserve"/>
      </w:r>
    </w:p>
    <w:p>
      <w:pP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60"/>
          <w:szCs w:val="60"/>
        </w:rPr>
        <w:t xml:space="preserve">AI 에이전트 등록·통제 지침</w:t>
      </w:r>
    </w:p>
    <w:p>
      <w:pPr>
        <w:spacing w:after="3200"/>
      </w:pPr>
      <w:r>
        <w:t xml:space="preserve"/>
      </w:r>
    </w:p>
    <w:tbl>
      <w:tblPr>
        <w:tblW w:type="dxa" w:w="4400"/>
        <w:jc w:val="right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300"/>
        <w:gridCol w:w="3100"/>
      </w:tblGrid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IT-AX-OPS-003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버전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최종 수정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2026-07-06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운영 지침 (AX팀·AI CREW·부서장)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소관 부서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AX/PI센터 AX팀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 w:before="0" w:line="312" w:lineRule="auto"/>
        <w:ind w:right="0"/>
        <w:jc w:val="right"/>
      </w:pPr>
      <w:r>
        <w:rPr>
          <w:rFonts w:ascii="Batang" w:cs="Batang" w:eastAsia="Batang" w:hAnsi="Batang"/>
          <w:b w:val="false"/>
          <w:bCs w:val="false"/>
          <w:color w:val="1C1C1C"/>
          <w:sz w:val="18"/>
          <w:szCs w:val="18"/>
        </w:rPr>
        <w:t xml:space="preserve">내부용 (Internal Use Only)</w:t>
      </w:r>
    </w:p>
    <w:p>
      <w:r>
        <w:br w:type="page"/>
      </w:r>
    </w:p>
    <w:p>
      <w:pPr>
        <w:pBdr>
          <w:bottom w:val="single" w:color="AAAAAA" w:sz="10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4"/>
          <w:szCs w:val="34"/>
        </w:rPr>
        <w:t xml:space="preserve">목차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제1장 총칙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제1조(목적)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제2조(적용 범위)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제3조(용어의 정의)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제2장 위험등급별 통제 요건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제4조(위험등급 결정)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제5조(고위험 필수 통제)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제6조(감사 로그 필수 필드)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제7조(고위험 운영 승격 기준)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제8조(중위험 필수 통제)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제9조(중위험 운영 승격 기준)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제10조(위험등급 재평가)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제3장 에이전트 라이프사이클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제11조(라이프사이클 구분)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제12조(사전 설계 체크)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제13조(Agent ID 체계)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제14조(생성 라이프사이클)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제15조(관리 라이프사이클)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제16조(프롬프트 버전 관리)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제17조(에이전트 인벤토리)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제4장 자원·비용 관리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제18조(예산 편성)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제19조(API 키 관리)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제20조(토큰 사용량 관리)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제21조(모델 배분 정책)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제22조(조직 지식 축적 성숙도 평가)</w:t>
      </w:r>
    </w:p>
    <w:p>
      <w:r>
        <w:br w:type="pag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AI 에이전트 등록·통제 지침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제1장 총칙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제1조(목적)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지침은 「AI 거버넌스 규정」(IT-AX-REG-001)에서 위임한 사항과 AI 에이전트의 위험등급별 통제, 라이프사이클 관리, 자원·비용 통제에 필요한 세부 기준을 정함을 목적으로 한다.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제2조(적용 범위)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이 지침은 AX팀, AI CREW 및 현업 부서장에게 적용한다.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유형 3·4 에이전트 및 G2·G3 데이터를 처리하는 과제는 이 지침의 통제 요건을 의무적으로 준수하여야 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제3조(용어의 정의)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지침에서 사용하는 용어의 정의는 다음과 같다.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"위험등급"이란 AI 과제가 업무·데이터·유형 기준에서 갖는 잠재적 위해 수준을 고위험·중위험·저위험으로 구분한 것을 말한다.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"Agent ID"란 AX팀이 에이전트에 발급하는 고유 식별자를 말한다.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"라이프사이클"이란 에이전트가 생성되어 폐기될 때까지의 전체 상태 흐름을 말한다.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"Kill Switch"란 에이전트를 즉시 중단시키는 Circuit Breaker 패턴의 제어 장치를 말한다.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제2장 위험등급별 통제 요건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제4조(위험등급 결정)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위험등급은 다음 순서로 결정한다.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업무 분류 → 규정 제6조 목록 대조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기밀등급 → G3 포함 시 고위험 자동 상향 / G2만이면 최소 중위험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유형 → 유형 3·4이면 최소 중위험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4. 영향 범위 → 고객 자산·계약 영향이면 고위험 자동 상향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등급이 명확하지 않은 경우 상위 등급으로 분류한다.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제5조(고위험 필수 통제)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고위험 과제에 대하여 다음 각 호의 통제를 의무적으로 적용한다.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744"/>
        <w:gridCol w:w="6022"/>
      </w:tblGrid>
      <w:tr>
        <w:tc>
          <w:tcPr>
            <w:tcW w:type="dxa" w:w="27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  <w:tc>
          <w:tcPr>
            <w:tcW w:type="dxa" w:w="60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</w:tr>
      <w:tr>
        <w:tc>
          <w:tcPr>
            <w:tcW w:type="dxa" w:w="27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Human-in-the-loop</w:t>
            </w:r>
          </w:p>
        </w:tc>
        <w:tc>
          <w:tcPr>
            <w:tcW w:type="dxa" w:w="60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담당자 + 팀장 이중 검토 후 실행</w:t>
            </w:r>
          </w:p>
        </w:tc>
      </w:tr>
      <w:tr>
        <w:tc>
          <w:tcPr>
            <w:tcW w:type="dxa" w:w="27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독립 검증</w:t>
            </w:r>
          </w:p>
        </w:tc>
        <w:tc>
          <w:tcPr>
            <w:tcW w:type="dxa" w:w="60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개발팀과 독립된 부서가 별도 검증</w:t>
            </w:r>
          </w:p>
        </w:tc>
      </w:tr>
      <w:tr>
        <w:tc>
          <w:tcPr>
            <w:tcW w:type="dxa" w:w="27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출처 강제</w:t>
            </w:r>
          </w:p>
        </w:tc>
        <w:tc>
          <w:tcPr>
            <w:tcW w:type="dxa" w:w="60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모든 AI 응답에 근거 데이터·출처 명시</w:t>
            </w:r>
          </w:p>
        </w:tc>
      </w:tr>
      <w:tr>
        <w:tc>
          <w:tcPr>
            <w:tcW w:type="dxa" w:w="27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감사 로그</w:t>
            </w:r>
          </w:p>
        </w:tc>
        <w:tc>
          <w:tcPr>
            <w:tcW w:type="dxa" w:w="60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입력→처리→출력 전 과정 기록, 5년 보존</w:t>
            </w:r>
          </w:p>
        </w:tc>
      </w:tr>
      <w:tr>
        <w:tc>
          <w:tcPr>
            <w:tcW w:type="dxa" w:w="27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사전 승인</w:t>
            </w:r>
          </w:p>
        </w:tc>
        <w:tc>
          <w:tcPr>
            <w:tcW w:type="dxa" w:w="60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3·4 적용 시 AX팀장 + 팀 상위 승인</w:t>
            </w:r>
          </w:p>
        </w:tc>
      </w:tr>
      <w:tr>
        <w:tc>
          <w:tcPr>
            <w:tcW w:type="dxa" w:w="27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Kill Switch</w:t>
            </w:r>
          </w:p>
        </w:tc>
        <w:tc>
          <w:tcPr>
            <w:tcW w:type="dxa" w:w="60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Circuit Breaker 구현 의무</w:t>
            </w:r>
          </w:p>
        </w:tc>
      </w:tr>
      <w:tr>
        <w:tc>
          <w:tcPr>
            <w:tcW w:type="dxa" w:w="27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롤백 절차</w:t>
            </w:r>
          </w:p>
        </w:tc>
        <w:tc>
          <w:tcPr>
            <w:tcW w:type="dxa" w:w="60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중 장애 발생 시 이전 버전·수동 처리로 즉시 전환하는 절차를 사전 정의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제6조(감사 로그 필수 필드)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고위험 과제의 감사 로그에는 다음 항목을 반드시 기록하여야 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336"/>
        <w:gridCol w:w="6430"/>
      </w:tblGrid>
      <w:tr>
        <w:tc>
          <w:tcPr>
            <w:tcW w:type="dxa" w:w="2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필드</w:t>
            </w:r>
          </w:p>
        </w:tc>
        <w:tc>
          <w:tcPr>
            <w:tcW w:type="dxa" w:w="64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2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timestamp</w:t>
            </w:r>
          </w:p>
        </w:tc>
        <w:tc>
          <w:tcPr>
            <w:tcW w:type="dxa" w:w="64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UTC 기준 ISO 8601</w:t>
            </w:r>
          </w:p>
        </w:tc>
      </w:tr>
      <w:tr>
        <w:tc>
          <w:tcPr>
            <w:tcW w:type="dxa" w:w="2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agent_id</w:t>
            </w:r>
          </w:p>
        </w:tc>
        <w:tc>
          <w:tcPr>
            <w:tcW w:type="dxa" w:w="64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발급 Agent ID</w:t>
            </w:r>
          </w:p>
        </w:tc>
      </w:tr>
      <w:tr>
        <w:tc>
          <w:tcPr>
            <w:tcW w:type="dxa" w:w="2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event_type</w:t>
            </w:r>
          </w:p>
        </w:tc>
        <w:tc>
          <w:tcPr>
            <w:tcW w:type="dxa" w:w="64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llm_call / tool_call / human_checkpoint / error</w:t>
            </w:r>
          </w:p>
        </w:tc>
      </w:tr>
      <w:tr>
        <w:tc>
          <w:tcPr>
            <w:tcW w:type="dxa" w:w="2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input_summary</w:t>
            </w:r>
          </w:p>
        </w:tc>
        <w:tc>
          <w:tcPr>
            <w:tcW w:type="dxa" w:w="64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입력 요약 (G3 원문 제외)</w:t>
            </w:r>
          </w:p>
        </w:tc>
      </w:tr>
      <w:tr>
        <w:tc>
          <w:tcPr>
            <w:tcW w:type="dxa" w:w="2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output_summary</w:t>
            </w:r>
          </w:p>
        </w:tc>
        <w:tc>
          <w:tcPr>
            <w:tcW w:type="dxa" w:w="64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출력 요약</w:t>
            </w:r>
          </w:p>
        </w:tc>
      </w:tr>
      <w:tr>
        <w:tc>
          <w:tcPr>
            <w:tcW w:type="dxa" w:w="2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tool_name</w:t>
            </w:r>
          </w:p>
        </w:tc>
        <w:tc>
          <w:tcPr>
            <w:tcW w:type="dxa" w:w="64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호출한 도구명 (tool_call 시)</w:t>
            </w:r>
          </w:p>
        </w:tc>
      </w:tr>
      <w:tr>
        <w:tc>
          <w:tcPr>
            <w:tcW w:type="dxa" w:w="2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user_id</w:t>
            </w:r>
          </w:p>
        </w:tc>
        <w:tc>
          <w:tcPr>
            <w:tcW w:type="dxa" w:w="64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요청자 또는 트리거 시스템 식별자</w:t>
            </w:r>
          </w:p>
        </w:tc>
      </w:tr>
      <w:tr>
        <w:tc>
          <w:tcPr>
            <w:tcW w:type="dxa" w:w="2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decision</w:t>
            </w:r>
          </w:p>
        </w:tc>
        <w:tc>
          <w:tcPr>
            <w:tcW w:type="dxa" w:w="64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사람 검토 결과 (human_checkpoint 시)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제7조(고위험 운영 승격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고위험 과제의 운영 승격은 다음 기준에 따른다.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3084"/>
        <w:gridCol w:w="755"/>
        <w:gridCol w:w="2230"/>
        <w:gridCol w:w="2697"/>
      </w:tblGrid>
      <w:tr>
        <w:tc>
          <w:tcPr>
            <w:tcW w:type="dxa" w:w="30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단계</w:t>
            </w:r>
          </w:p>
        </w:tc>
        <w:tc>
          <w:tcPr>
            <w:tcW w:type="dxa" w:w="7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기간</w:t>
            </w:r>
          </w:p>
        </w:tc>
        <w:tc>
          <w:tcPr>
            <w:tcW w:type="dxa" w:w="2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  <w:tc>
          <w:tcPr>
            <w:tcW w:type="dxa" w:w="26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승인</w:t>
            </w:r>
          </w:p>
        </w:tc>
      </w:tr>
      <w:tr>
        <w:tc>
          <w:tcPr>
            <w:tcW w:type="dxa" w:w="30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PoC</w:t>
            </w:r>
          </w:p>
        </w:tc>
        <w:tc>
          <w:tcPr>
            <w:tcW w:type="dxa" w:w="7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2주</w:t>
            </w:r>
          </w:p>
        </w:tc>
        <w:tc>
          <w:tcPr>
            <w:tcW w:type="dxa" w:w="2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기술 실현 가능성 확인</w:t>
            </w:r>
          </w:p>
        </w:tc>
        <w:tc>
          <w:tcPr>
            <w:tcW w:type="dxa" w:w="26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</w:t>
            </w:r>
          </w:p>
        </w:tc>
      </w:tr>
      <w:tr>
        <w:tc>
          <w:tcPr>
            <w:tcW w:type="dxa" w:w="30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파일럿</w:t>
            </w:r>
          </w:p>
        </w:tc>
        <w:tc>
          <w:tcPr>
            <w:tcW w:type="dxa" w:w="7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8주</w:t>
            </w:r>
          </w:p>
        </w:tc>
        <w:tc>
          <w:tcPr>
            <w:tcW w:type="dxa" w:w="2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KPI 80% 이상 + 사고 0건</w:t>
            </w:r>
          </w:p>
        </w:tc>
        <w:tc>
          <w:tcPr>
            <w:tcW w:type="dxa" w:w="26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팀 상위</w:t>
            </w:r>
          </w:p>
        </w:tc>
      </w:tr>
      <w:tr>
        <w:tc>
          <w:tcPr>
            <w:tcW w:type="dxa" w:w="30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승격 (일반)</w:t>
            </w:r>
          </w:p>
        </w:tc>
        <w:tc>
          <w:tcPr>
            <w:tcW w:type="dxa" w:w="7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2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KPI 90% 이상 + 감사 로그 완비</w:t>
            </w:r>
          </w:p>
        </w:tc>
        <w:tc>
          <w:tcPr>
            <w:tcW w:type="dxa" w:w="26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팀 상위 + 준법감시인</w:t>
            </w:r>
          </w:p>
        </w:tc>
      </w:tr>
      <w:tr>
        <w:tc>
          <w:tcPr>
            <w:tcW w:type="dxa" w:w="30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승격 (투자·운용 실행·공시·컴플라이언스 판정 해당)</w:t>
            </w:r>
          </w:p>
        </w:tc>
        <w:tc>
          <w:tcPr>
            <w:tcW w:type="dxa" w:w="7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223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KPI 90% 이상 + 감사 로그 완비</w:t>
            </w:r>
          </w:p>
        </w:tc>
        <w:tc>
          <w:tcPr>
            <w:tcW w:type="dxa" w:w="26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팀 상위 + 준법감시인 + AX 위원회 최종 승인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제8조(중위험 필수 통제)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중위험 과제에 대하여 다음 각 호의 통제를 의무적으로 적용한다.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702"/>
        <w:gridCol w:w="6064"/>
      </w:tblGrid>
      <w:tr>
        <w:tc>
          <w:tcPr>
            <w:tcW w:type="dxa" w:w="270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  <w:tc>
          <w:tcPr>
            <w:tcW w:type="dxa" w:w="606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</w:tr>
      <w:tr>
        <w:tc>
          <w:tcPr>
            <w:tcW w:type="dxa" w:w="270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사람 검토 후 확정</w:t>
            </w:r>
          </w:p>
        </w:tc>
        <w:tc>
          <w:tcPr>
            <w:tcW w:type="dxa" w:w="606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산출물은 초안. 담당자 검토 후 최종 확정</w:t>
            </w:r>
          </w:p>
        </w:tc>
      </w:tr>
      <w:tr>
        <w:tc>
          <w:tcPr>
            <w:tcW w:type="dxa" w:w="270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출처 명시</w:t>
            </w:r>
          </w:p>
        </w:tc>
        <w:tc>
          <w:tcPr>
            <w:tcW w:type="dxa" w:w="606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사실 주장 시 근거 출처 포함</w:t>
            </w:r>
          </w:p>
        </w:tc>
      </w:tr>
      <w:tr>
        <w:tc>
          <w:tcPr>
            <w:tcW w:type="dxa" w:w="270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분기별 KPI 점검</w:t>
            </w:r>
          </w:p>
        </w:tc>
        <w:tc>
          <w:tcPr>
            <w:tcW w:type="dxa" w:w="606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정확도·사용률·오류율 점검</w:t>
            </w:r>
          </w:p>
        </w:tc>
      </w:tr>
      <w:tr>
        <w:tc>
          <w:tcPr>
            <w:tcW w:type="dxa" w:w="270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등록 의무</w:t>
            </w:r>
          </w:p>
        </w:tc>
        <w:tc>
          <w:tcPr>
            <w:tcW w:type="dxa" w:w="606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2 이상 → AX팀 과제 등록 후 운영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제9조(중위험 운영 승격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중위험 과제의 운영 승격은 다음 기준에 따른다.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396"/>
        <w:gridCol w:w="1237"/>
        <w:gridCol w:w="3465"/>
        <w:gridCol w:w="2668"/>
      </w:tblGrid>
      <w:tr>
        <w:tc>
          <w:tcPr>
            <w:tcW w:type="dxa" w:w="13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단계</w:t>
            </w:r>
          </w:p>
        </w:tc>
        <w:tc>
          <w:tcPr>
            <w:tcW w:type="dxa" w:w="12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기간</w:t>
            </w:r>
          </w:p>
        </w:tc>
        <w:tc>
          <w:tcPr>
            <w:tcW w:type="dxa" w:w="34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  <w:tc>
          <w:tcPr>
            <w:tcW w:type="dxa" w:w="26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승인</w:t>
            </w:r>
          </w:p>
        </w:tc>
      </w:tr>
      <w:tr>
        <w:tc>
          <w:tcPr>
            <w:tcW w:type="dxa" w:w="13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PoC</w:t>
            </w:r>
          </w:p>
        </w:tc>
        <w:tc>
          <w:tcPr>
            <w:tcW w:type="dxa" w:w="12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2주</w:t>
            </w:r>
          </w:p>
        </w:tc>
        <w:tc>
          <w:tcPr>
            <w:tcW w:type="dxa" w:w="34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기술 실현 가능성 확인</w:t>
            </w:r>
          </w:p>
        </w:tc>
        <w:tc>
          <w:tcPr>
            <w:tcW w:type="dxa" w:w="26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</w:t>
            </w:r>
          </w:p>
        </w:tc>
      </w:tr>
      <w:tr>
        <w:tc>
          <w:tcPr>
            <w:tcW w:type="dxa" w:w="13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파일럿</w:t>
            </w:r>
          </w:p>
        </w:tc>
        <w:tc>
          <w:tcPr>
            <w:tcW w:type="dxa" w:w="12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4~6주</w:t>
            </w:r>
          </w:p>
        </w:tc>
        <w:tc>
          <w:tcPr>
            <w:tcW w:type="dxa" w:w="34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KPI 60% 이상</w:t>
            </w:r>
          </w:p>
        </w:tc>
        <w:tc>
          <w:tcPr>
            <w:tcW w:type="dxa" w:w="26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 + 현업 부서장</w:t>
            </w:r>
          </w:p>
        </w:tc>
      </w:tr>
      <w:tr>
        <w:tc>
          <w:tcPr>
            <w:tcW w:type="dxa" w:w="13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승격</w:t>
            </w:r>
          </w:p>
        </w:tc>
        <w:tc>
          <w:tcPr>
            <w:tcW w:type="dxa" w:w="12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346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KPI 80% 이상 + 사고 0건</w:t>
            </w:r>
          </w:p>
        </w:tc>
        <w:tc>
          <w:tcPr>
            <w:tcW w:type="dxa" w:w="26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팀 상위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제10조(위험등급 재평가)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다음 각 호의 상황이 발생하면 즉시 위험등급을 재평가하여야 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적용 업무 범위가 최초 등록보다 확대된 경우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더 높은 기밀등급의 데이터를 새로 처리하게 된 경우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관련 법령·감독지침이 개정된 경우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연간 정기 재평가는 매년 1월에 실시한다.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제3장 에이전트 라이프사이클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제11조(라이프사이클 구분)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에이전트 라이프사이클은 생성 라이프사이클(Phase Gate 1→7)과 관리 라이프사이클(상태 머신)로 구분한다. 두 라이프사이클은 Phase 6 파일럿 진입 시점에 교차한다.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제12조(사전 설계 체크)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유형 3·4 에이전트는 운영 전 AX팀과 다음 항목을 반드시 확인하여야 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407"/>
        <w:gridCol w:w="6359"/>
      </w:tblGrid>
      <w:tr>
        <w:tc>
          <w:tcPr>
            <w:tcW w:type="dxa" w:w="24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  <w:tc>
          <w:tcPr>
            <w:tcW w:type="dxa" w:w="6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확인 사항</w:t>
            </w:r>
          </w:p>
        </w:tc>
      </w:tr>
      <w:tr>
        <w:tc>
          <w:tcPr>
            <w:tcW w:type="dxa" w:w="24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목표</w:t>
            </w:r>
          </w:p>
        </w:tc>
        <w:tc>
          <w:tcPr>
            <w:tcW w:type="dxa" w:w="6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에이전트가 달성하는 구체적인 결과물은 무엇인가. 목표가 두 개 이상이면 에이전트를 분리한다.</w:t>
            </w:r>
          </w:p>
        </w:tc>
      </w:tr>
      <w:tr>
        <w:tc>
          <w:tcPr>
            <w:tcW w:type="dxa" w:w="24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범위</w:t>
            </w:r>
          </w:p>
        </w:tc>
        <w:tc>
          <w:tcPr>
            <w:tcW w:type="dxa" w:w="6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절대 하면 안 되는 것 목록을 시스템 프롬프트에 명시했는가</w:t>
            </w:r>
          </w:p>
        </w:tc>
      </w:tr>
      <w:tr>
        <w:tc>
          <w:tcPr>
            <w:tcW w:type="dxa" w:w="24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도구</w:t>
            </w:r>
          </w:p>
        </w:tc>
        <w:tc>
          <w:tcPr>
            <w:tcW w:type="dxa" w:w="6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목표에 필요한 최소한의 도구만 허용했는가</w:t>
            </w:r>
          </w:p>
        </w:tc>
      </w:tr>
      <w:tr>
        <w:tc>
          <w:tcPr>
            <w:tcW w:type="dxa" w:w="24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Human Checkpoint</w:t>
            </w:r>
          </w:p>
        </w:tc>
        <w:tc>
          <w:tcPr>
            <w:tcW w:type="dxa" w:w="6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결과 전 사람 승인 포인트가 있는가</w:t>
            </w:r>
          </w:p>
        </w:tc>
      </w:tr>
      <w:tr>
        <w:tc>
          <w:tcPr>
            <w:tcW w:type="dxa" w:w="24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Kill Switch</w:t>
            </w:r>
          </w:p>
        </w:tc>
        <w:tc>
          <w:tcPr>
            <w:tcW w:type="dxa" w:w="6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즉시 중단 조건과 중단 후 행동이 정의되어 있는가</w:t>
            </w:r>
          </w:p>
        </w:tc>
      </w:tr>
      <w:tr>
        <w:tc>
          <w:tcPr>
            <w:tcW w:type="dxa" w:w="24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감사 추적</w:t>
            </w:r>
          </w:p>
        </w:tc>
        <w:tc>
          <w:tcPr>
            <w:tcW w:type="dxa" w:w="6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모든 Tool Call과 판단 근거를 기록하는가</w:t>
            </w:r>
          </w:p>
        </w:tc>
      </w:tr>
      <w:tr>
        <w:tc>
          <w:tcPr>
            <w:tcW w:type="dxa" w:w="24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실패 모드</w:t>
            </w:r>
          </w:p>
        </w:tc>
        <w:tc>
          <w:tcPr>
            <w:tcW w:type="dxa" w:w="6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실패 시 행동(알림·롤백·중단)이 정의되어 있는가</w:t>
            </w:r>
          </w:p>
        </w:tc>
      </w:tr>
      <w:tr>
        <w:tc>
          <w:tcPr>
            <w:tcW w:type="dxa" w:w="24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평가 KPI 사전 합의</w:t>
            </w:r>
          </w:p>
        </w:tc>
        <w:tc>
          <w:tcPr>
            <w:tcW w:type="dxa" w:w="6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v1에 측정 가능한 KPI 목표값이 기재되었는가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제13조(Agent ID 체계)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Agent ID 형식은 다음과 같다.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형식: AX-{YYYY}-{유형코드}-{순번}
유형코드: AGT (단독 에이전트) / MAS (멀티 에이전트 시스템)
예: AX-2026-AGT-001
멀티 에이전트 서브: AX-2026-MAS-001-SUB-A
임시 ID (파일럿 전용): AX-DEV-{YYYY}-{순번}
예: AX-DEV-2026-001 → 운영 전환 시 정식 ID로 교체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Phase 및 데이터등급에 따른 Agent ID 발급 기준은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785"/>
        <w:gridCol w:w="2500"/>
        <w:gridCol w:w="1550"/>
        <w:gridCol w:w="1931"/>
      </w:tblGrid>
      <w:tr>
        <w:tc>
          <w:tcPr>
            <w:tcW w:type="dxa" w:w="27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상황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ID 유형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발급 주체</w:t>
            </w:r>
          </w:p>
        </w:tc>
        <w:tc>
          <w:tcPr>
            <w:tcW w:type="dxa" w:w="19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데이터 접근</w:t>
            </w:r>
          </w:p>
        </w:tc>
      </w:tr>
      <w:tr>
        <w:tc>
          <w:tcPr>
            <w:tcW w:type="dxa" w:w="27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 개인 실험 (Phase 2~3)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19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G1만 (샌드박스 권장)</w:t>
            </w:r>
          </w:p>
        </w:tc>
      </w:tr>
      <w:tr>
        <w:tc>
          <w:tcPr>
            <w:tcW w:type="dxa" w:w="27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 팀 공유 PoC (Phase 4~5)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인식·등록만</w:t>
            </w:r>
          </w:p>
        </w:tc>
        <w:tc>
          <w:tcPr>
            <w:tcW w:type="dxa" w:w="19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G1, 샘플 데이터</w:t>
            </w:r>
          </w:p>
        </w:tc>
      </w:tr>
      <w:tr>
        <w:tc>
          <w:tcPr>
            <w:tcW w:type="dxa" w:w="27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6 파일럿 (G1/G2)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AX-DEV- (임시)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</w:t>
            </w:r>
          </w:p>
        </w:tc>
        <w:tc>
          <w:tcPr>
            <w:tcW w:type="dxa" w:w="19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G1/G2, 제한 실데이터</w:t>
            </w:r>
          </w:p>
        </w:tc>
      </w:tr>
      <w:tr>
        <w:tc>
          <w:tcPr>
            <w:tcW w:type="dxa" w:w="27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7 운영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AX-YYYY-AGT-XXX (정식)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</w:t>
            </w:r>
          </w:p>
        </w:tc>
        <w:tc>
          <w:tcPr>
            <w:tcW w:type="dxa" w:w="19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설계 기준 전체 접근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제14조(생성 라이프사이클)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Phase별 ID 상태, 에이전트 상태, 데이터 접근 범위는 다음과 같다.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997"/>
        <w:gridCol w:w="838"/>
        <w:gridCol w:w="2190"/>
        <w:gridCol w:w="1315"/>
        <w:gridCol w:w="1713"/>
        <w:gridCol w:w="1713"/>
      </w:tblGrid>
      <w:tr>
        <w:tc>
          <w:tcPr>
            <w:tcW w:type="dxa" w:w="9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Phase</w:t>
            </w:r>
          </w:p>
        </w:tc>
        <w:tc>
          <w:tcPr>
            <w:tcW w:type="dxa" w:w="8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명칭</w:t>
            </w:r>
          </w:p>
        </w:tc>
        <w:tc>
          <w:tcPr>
            <w:tcW w:type="dxa" w:w="21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ID 상태</w:t>
            </w:r>
          </w:p>
        </w:tc>
        <w:tc>
          <w:tcPr>
            <w:tcW w:type="dxa" w:w="13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에이전트 상태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데이터 접근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AX팀 역할</w:t>
            </w:r>
          </w:p>
        </w:tc>
      </w:tr>
      <w:tr>
        <w:tc>
          <w:tcPr>
            <w:tcW w:type="dxa" w:w="9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0</w:t>
            </w:r>
          </w:p>
        </w:tc>
        <w:tc>
          <w:tcPr>
            <w:tcW w:type="dxa" w:w="8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발굴</w:t>
            </w:r>
          </w:p>
        </w:tc>
        <w:tc>
          <w:tcPr>
            <w:tcW w:type="dxa" w:w="21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3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G1만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존재 인식</w:t>
            </w:r>
          </w:p>
        </w:tc>
      </w:tr>
      <w:tr>
        <w:tc>
          <w:tcPr>
            <w:tcW w:type="dxa" w:w="9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</w:t>
            </w:r>
          </w:p>
        </w:tc>
        <w:tc>
          <w:tcPr>
            <w:tcW w:type="dxa" w:w="8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기획</w:t>
            </w:r>
          </w:p>
        </w:tc>
        <w:tc>
          <w:tcPr>
            <w:tcW w:type="dxa" w:w="21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3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G1만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등록</w:t>
            </w:r>
          </w:p>
        </w:tc>
      </w:tr>
      <w:tr>
        <w:tc>
          <w:tcPr>
            <w:tcW w:type="dxa" w:w="9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</w:t>
            </w:r>
          </w:p>
        </w:tc>
        <w:tc>
          <w:tcPr>
            <w:tcW w:type="dxa" w:w="8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설계</w:t>
            </w:r>
          </w:p>
        </w:tc>
        <w:tc>
          <w:tcPr>
            <w:tcW w:type="dxa" w:w="21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3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G1, 샘플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기술 검토·설계 지원</w:t>
            </w:r>
          </w:p>
        </w:tc>
      </w:tr>
      <w:tr>
        <w:tc>
          <w:tcPr>
            <w:tcW w:type="dxa" w:w="9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3</w:t>
            </w:r>
          </w:p>
        </w:tc>
        <w:tc>
          <w:tcPr>
            <w:tcW w:type="dxa" w:w="8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MVP</w:t>
            </w:r>
          </w:p>
        </w:tc>
        <w:tc>
          <w:tcPr>
            <w:tcW w:type="dxa" w:w="21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3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개발 중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G1, 샘플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인식·등록</w:t>
            </w:r>
          </w:p>
        </w:tc>
      </w:tr>
      <w:tr>
        <w:tc>
          <w:tcPr>
            <w:tcW w:type="dxa" w:w="9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4</w:t>
            </w:r>
          </w:p>
        </w:tc>
        <w:tc>
          <w:tcPr>
            <w:tcW w:type="dxa" w:w="8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심사</w:t>
            </w:r>
          </w:p>
        </w:tc>
        <w:tc>
          <w:tcPr>
            <w:tcW w:type="dxa" w:w="21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없음</w:t>
            </w:r>
          </w:p>
        </w:tc>
        <w:tc>
          <w:tcPr>
            <w:tcW w:type="dxa" w:w="13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심사 중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G1, 샘플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심사 보고서 작성</w:t>
            </w:r>
          </w:p>
        </w:tc>
      </w:tr>
      <w:tr>
        <w:tc>
          <w:tcPr>
            <w:tcW w:type="dxa" w:w="9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5</w:t>
            </w:r>
          </w:p>
        </w:tc>
        <w:tc>
          <w:tcPr>
            <w:tcW w:type="dxa" w:w="8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파일럿</w:t>
            </w:r>
          </w:p>
        </w:tc>
        <w:tc>
          <w:tcPr>
            <w:tcW w:type="dxa" w:w="21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AX-DEV- (임시)</w:t>
            </w:r>
          </w:p>
        </w:tc>
        <w:tc>
          <w:tcPr>
            <w:tcW w:type="dxa" w:w="13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🟡 등록신청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G1/G2, 제한 실데이터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임시 ID·파일럿 운영</w:t>
            </w:r>
          </w:p>
        </w:tc>
      </w:tr>
      <w:tr>
        <w:tc>
          <w:tcPr>
            <w:tcW w:type="dxa" w:w="9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6</w:t>
            </w:r>
          </w:p>
        </w:tc>
        <w:tc>
          <w:tcPr>
            <w:tcW w:type="dxa" w:w="8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</w:t>
            </w:r>
          </w:p>
        </w:tc>
        <w:tc>
          <w:tcPr>
            <w:tcW w:type="dxa" w:w="21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AX-YYYY-AGT-XXX (정식)</w:t>
            </w:r>
          </w:p>
        </w:tc>
        <w:tc>
          <w:tcPr>
            <w:tcW w:type="dxa" w:w="13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🟢 Active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설계 기준 전체</w:t>
            </w:r>
          </w:p>
        </w:tc>
        <w:tc>
          <w:tcPr>
            <w:tcW w:type="dxa" w:w="17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정식 ID·모니터링 활성화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제15조(관리 라이프사이클)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운영 중 에이전트의 상태 전환 기준 및 조치는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422"/>
        <w:gridCol w:w="2422"/>
        <w:gridCol w:w="3922"/>
      </w:tblGrid>
      <w:tr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상태 전환</w:t>
            </w:r>
          </w:p>
        </w:tc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조건</w:t>
            </w:r>
          </w:p>
        </w:tc>
        <w:tc>
          <w:tcPr>
            <w:tcW w:type="dxa" w:w="3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AX팀 역할</w:t>
            </w:r>
          </w:p>
        </w:tc>
      </w:tr>
      <w:tr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→ 🟡 등록신청</w:t>
            </w:r>
          </w:p>
        </w:tc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6 파일럿 진입 승인</w:t>
            </w:r>
          </w:p>
        </w:tc>
        <w:tc>
          <w:tcPr>
            <w:tcW w:type="dxa" w:w="3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임시 ID 발급, 인벤토리 신규 등록</w:t>
            </w:r>
          </w:p>
        </w:tc>
      </w:tr>
      <w:tr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🟡 → 🟢 Active</w:t>
            </w:r>
          </w:p>
        </w:tc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7 운영 승격</w:t>
            </w:r>
          </w:p>
        </w:tc>
        <w:tc>
          <w:tcPr>
            <w:tcW w:type="dxa" w:w="3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정식 ID 교체, KPI 모니터링 활성화</w:t>
            </w:r>
          </w:p>
        </w:tc>
      </w:tr>
      <w:tr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🟢 → 🔵 Suspended</w:t>
            </w:r>
          </w:p>
        </w:tc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사고·점검·업무 변화</w:t>
            </w:r>
          </w:p>
        </w:tc>
        <w:tc>
          <w:tcPr>
            <w:tcW w:type="dxa" w:w="3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원인 분석, 접근권한 일시 차단</w:t>
            </w:r>
          </w:p>
        </w:tc>
      </w:tr>
      <w:tr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🔵 → 🟢 Active</w:t>
            </w:r>
          </w:p>
        </w:tc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원인 해소 후 복구 승인</w:t>
            </w:r>
          </w:p>
        </w:tc>
        <w:tc>
          <w:tcPr>
            <w:tcW w:type="dxa" w:w="3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복구 검토, 재활성화</w:t>
            </w:r>
          </w:p>
        </w:tc>
      </w:tr>
      <w:tr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* → 🔴 Retired</w:t>
            </w:r>
          </w:p>
        </w:tc>
        <w:tc>
          <w:tcPr>
            <w:tcW w:type="dxa" w:w="24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폐기 기준 충족</w:t>
            </w:r>
          </w:p>
        </w:tc>
        <w:tc>
          <w:tcPr>
            <w:tcW w:type="dxa" w:w="39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ID 비활성화, 인벤토리 폐기 등록, 접근권한 전체 회수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다음 각 호의 기준 중 하나에 해당하면 에이전트를 폐기한다.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KPI 60% 미달 3개월 연속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데이터 유출·보안 사고 발생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12개월 연속 미사용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4. 담당 업무 소멸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폐기 후 감사 로그는 보존 기간을 유지한다. Agent ID는 재사용을 금지한다.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제16조(프롬프트 버전 관리)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프롬프트는 코드와 동일하게 관리한다.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시스템 프롬프트는 코드 저장소에 포함하여 Git으로 버전 관리한다.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프롬프트 변경 시 코드 변경과 동일한 리뷰 절차(PR·승인)를 거친다.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변경 이력(변경 이유, 변경 전·후, 테스트 결과)을 커밋 메시지에 기록한다.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운영 중 프롬프트 핫픽스도 동일한 절차를 적용하며, 사후 즉시 기록한다.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제17조(에이전트 인벤토리)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에이전트 상태 변경·ID 발급 이벤트 발생 시 인벤토리를 자동 업데이트한다.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반기 1회 수동 전수 확인을 실시하여 누락·좀비 에이전트를 점검한다.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인벤토리에 기록하는 항목은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Agent ID / 에이전트명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담당 부서 / AI CREW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위험등급 / 기밀등급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현재 상태 (🟡🟢🔵🔴)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사용 모델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Kill Switch 구현 여부 (O/X)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월 비용 (USD)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마지막 KPI 점검일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우수 에이전트 여부 (🏆)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제4장 자원·비용 관리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제18조(예산 편성)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 과제 관련 예산 편성·승인·집행 기준은 별도 사규에 따른다. AX팀은 과제별 예상 비용을 과제 정의서 v1에 명시하고 해당 사규 절차에 따라 예산을 신청한다.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제19조(API 키 관리)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API 키 발급 및 관리 기준은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3044"/>
        <w:gridCol w:w="2678"/>
        <w:gridCol w:w="3044"/>
      </w:tblGrid>
      <w:tr>
        <w:tc>
          <w:tcPr>
            <w:tcW w:type="dxa" w:w="30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용도</w:t>
            </w:r>
          </w:p>
        </w:tc>
        <w:tc>
          <w:tcPr>
            <w:tcW w:type="dxa" w:w="267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발급 방법</w:t>
            </w:r>
          </w:p>
        </w:tc>
        <w:tc>
          <w:tcPr>
            <w:tcW w:type="dxa" w:w="30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조건</w:t>
            </w:r>
          </w:p>
        </w:tc>
      </w:tr>
      <w:tr>
        <w:tc>
          <w:tcPr>
            <w:tcW w:type="dxa" w:w="30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 개인 실험 (Phase 2~3)</w:t>
            </w:r>
          </w:p>
        </w:tc>
        <w:tc>
          <w:tcPr>
            <w:tcW w:type="dxa" w:w="267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CREW가 직접 발급 가능</w:t>
            </w:r>
          </w:p>
        </w:tc>
        <w:tc>
          <w:tcPr>
            <w:tcW w:type="dxa" w:w="30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발급 후 AX팀 키 목록에 등록만</w:t>
            </w:r>
          </w:p>
        </w:tc>
      </w:tr>
      <w:tr>
        <w:tc>
          <w:tcPr>
            <w:tcW w:type="dxa" w:w="30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 팀 공유·파일럿 이상</w:t>
            </w:r>
          </w:p>
        </w:tc>
        <w:tc>
          <w:tcPr>
            <w:tcW w:type="dxa" w:w="267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신청 → 과제별 키 발급</w:t>
            </w:r>
          </w:p>
        </w:tc>
        <w:tc>
          <w:tcPr>
            <w:tcW w:type="dxa" w:w="30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등록 선행 필수</w:t>
            </w:r>
          </w:p>
        </w:tc>
      </w:tr>
      <w:tr>
        <w:tc>
          <w:tcPr>
            <w:tcW w:type="dxa" w:w="30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G2 이상 모든 용도</w:t>
            </w:r>
          </w:p>
        </w:tc>
        <w:tc>
          <w:tcPr>
            <w:tcW w:type="dxa" w:w="267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신청 필수</w:t>
            </w:r>
          </w:p>
        </w:tc>
        <w:tc>
          <w:tcPr>
            <w:tcW w:type="dxa" w:w="30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G2 접근 사전 AX팀 승인 후 발급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다음 각 호의 공통 원칙을 준수하여야 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코드 하드코딩 금지 → </w:t>
      </w:r>
      <w:r>
        <w:rPr>
          <w:rFonts w:ascii="Courier New" w:cs="Courier New" w:eastAsia="Courier New" w:hAnsi="Courier New"/>
          <w:color w:val="444444"/>
          <w:sz w:val="28"/>
          <w:szCs w:val="28"/>
        </w:rPr>
        <w:t xml:space="preserve">.env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파일 저장, </w:t>
      </w:r>
      <w:r>
        <w:rPr>
          <w:rFonts w:ascii="Courier New" w:cs="Courier New" w:eastAsia="Courier New" w:hAnsi="Courier New"/>
          <w:color w:val="444444"/>
          <w:sz w:val="28"/>
          <w:szCs w:val="28"/>
        </w:rPr>
        <w:t xml:space="preserve">.gitignore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필수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</w:t>
      </w:r>
      <w:r>
        <w:rPr>
          <w:rFonts w:ascii="Courier New" w:cs="Courier New" w:eastAsia="Courier New" w:hAnsi="Courier New"/>
          <w:color w:val="444444"/>
          <w:sz w:val="28"/>
          <w:szCs w:val="28"/>
        </w:rPr>
        <w:t xml:space="preserve">.env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GitHub 업로드 금지 → 발견 즉시 키 무효화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공유 폴더·이메일·메신저로 키 전달 금지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제20조(토큰 사용량 관리)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AX팀은 과제별 토큰 사용량을 추적·통제할 책임을 진다. 토큰 비용은 AI 운영 원가이며, 과제별 사용량을 추적하지 않으면 예산 초과와 낭비가 발생해도 인지할 수 없다.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계층형 예산 구조는 다음과 같다. 상위 예산을 초과하면 하위 예산 집행이 자동 차단된다.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784"/>
        <w:gridCol w:w="2821"/>
        <w:gridCol w:w="1636"/>
        <w:gridCol w:w="2525"/>
      </w:tblGrid>
      <w:tr>
        <w:tc>
          <w:tcPr>
            <w:tcW w:type="dxa" w:w="17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계층</w:t>
            </w:r>
          </w:p>
        </w:tc>
        <w:tc>
          <w:tcPr>
            <w:tcW w:type="dxa" w:w="28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단위</w:t>
            </w:r>
          </w:p>
        </w:tc>
        <w:tc>
          <w:tcPr>
            <w:tcW w:type="dxa" w:w="16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설정 주체</w:t>
            </w:r>
          </w:p>
        </w:tc>
        <w:tc>
          <w:tcPr>
            <w:tcW w:type="dxa" w:w="252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초과 시</w:t>
            </w:r>
          </w:p>
        </w:tc>
      </w:tr>
      <w:tr>
        <w:tc>
          <w:tcPr>
            <w:tcW w:type="dxa" w:w="17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전사 월 예산</w:t>
            </w:r>
          </w:p>
        </w:tc>
        <w:tc>
          <w:tcPr>
            <w:tcW w:type="dxa" w:w="28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전체 AI API 비용 상한</w:t>
            </w:r>
          </w:p>
        </w:tc>
        <w:tc>
          <w:tcPr>
            <w:tcW w:type="dxa" w:w="16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팀 상위</w:t>
            </w:r>
          </w:p>
        </w:tc>
        <w:tc>
          <w:tcPr>
            <w:tcW w:type="dxa" w:w="252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신규 과제 착수 금지</w:t>
            </w:r>
          </w:p>
        </w:tc>
      </w:tr>
      <w:tr>
        <w:tc>
          <w:tcPr>
            <w:tcW w:type="dxa" w:w="17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과제별 월 예산</w:t>
            </w:r>
          </w:p>
        </w:tc>
        <w:tc>
          <w:tcPr>
            <w:tcW w:type="dxa" w:w="28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v1 기재 금액</w:t>
            </w:r>
          </w:p>
        </w:tc>
        <w:tc>
          <w:tcPr>
            <w:tcW w:type="dxa" w:w="16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</w:t>
            </w:r>
          </w:p>
        </w:tc>
        <w:tc>
          <w:tcPr>
            <w:tcW w:type="dxa" w:w="252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해당 과제 자동 정지</w:t>
            </w:r>
          </w:p>
        </w:tc>
      </w:tr>
      <w:tr>
        <w:tc>
          <w:tcPr>
            <w:tcW w:type="dxa" w:w="17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호출별 상한</w:t>
            </w:r>
          </w:p>
        </w:tc>
        <w:tc>
          <w:tcPr>
            <w:tcW w:type="dxa" w:w="28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단일 LLM 호출 최대 토큰</w:t>
            </w:r>
          </w:p>
        </w:tc>
        <w:tc>
          <w:tcPr>
            <w:tcW w:type="dxa" w:w="16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엔지니어</w:t>
            </w:r>
          </w:p>
        </w:tc>
        <w:tc>
          <w:tcPr>
            <w:tcW w:type="dxa" w:w="252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호출 거부 후 에러 반환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Attribution Tagging — 모든 LLM 호출에 다음 태그를 부착하여 사용처를 추적한다.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agent_id: AX-2026-AGT-001     # Agent ID
task_type: summarize           # 호출 목적 (분류·생성·검토 등)
data_class: G1                 # 데이터 기밀등급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과제마다 API 키를 분리 발급하고, 태그 누락 호출은 집계 시스템에서 별도 플래그 처리한다.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실시간 집행 기준은 다음과 같다.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월 예산 80% 도달 시 자동 알림 — AX팀장·담당 CREW에게 통보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월 예산 100% 도달 시 처리 방식은 위험등급별로 사전 결정한다. G1·저위험은 알림 후 담당자 판단, G2 이상·고위험은 자동 정지를 원칙으로 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전주 대비 사용량 200% 초과 시 이상 급증 알림 — AX팀이 원인 파악 후 24시간 내 조치한다.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⑤ 컨텍스트 최적화 원칙은 다음과 같다.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Prompt Caching 우선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동일 입력이 반복되는 구간(시스템 프롬프트·참조 문서)에는 캐싱을 의무 적용한다. 미적용 시 이관 완성도 심사에서 감점한다.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모델 등급 라우팅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분류·라우팅·키워드 추출처럼 정형화된 작업은 경량 모델을 사용하고, 복잡한 추론이 필요한 경우에만 상위 모델로 올린다. 상위 모델을 기본으로 사용하는 것을 금지한다.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컨텍스트 정리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에이전트 시스템 프롬프트에 불필요한 예시·주석을 제거하고, 각 호출에 필요한 최소 컨텍스트만 포함한다.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4.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사용량 명시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과제 기획 시 월 예상 토큰 사용량(입력·출력 토큰 구분)을 과제 정의서 v1에 기재한다. 실측치와 예상치의 차이가 50% 이상이면 AX팀이 원인을 파악하고 다음 분기 예산에 반영한다.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제21조(모델 배분 정책)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삼성자산운용 AI 인프라는 OpenAI(GPT), Anthropic(Claude), Google(Gemini) 세 공급사를 지원한다. 사용자가 원하는 모델을 임의로 선택하는 것을 금지하며, CREW 등급·과제 위험등급·데이터 기밀등급을 기준으로 AX팀이 배분한다.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CREW 등급별 허용 모델은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704"/>
        <w:gridCol w:w="4043"/>
        <w:gridCol w:w="1380"/>
        <w:gridCol w:w="1639"/>
      </w:tblGrid>
      <w:tr>
        <w:tc>
          <w:tcPr>
            <w:tcW w:type="dxa" w:w="17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CREW 등급</w:t>
            </w:r>
          </w:p>
        </w:tc>
        <w:tc>
          <w:tcPr>
            <w:tcW w:type="dxa" w:w="40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허용 모델</w:t>
            </w:r>
          </w:p>
        </w:tc>
        <w:tc>
          <w:tcPr>
            <w:tcW w:type="dxa" w:w="13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접근 경로</w:t>
            </w:r>
          </w:p>
        </w:tc>
        <w:tc>
          <w:tcPr>
            <w:tcW w:type="dxa" w:w="16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비고</w:t>
            </w:r>
          </w:p>
        </w:tc>
      </w:tr>
      <w:tr>
        <w:tc>
          <w:tcPr>
            <w:tcW w:type="dxa" w:w="17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Lv.1 탐색</w:t>
            </w:r>
          </w:p>
        </w:tc>
        <w:tc>
          <w:tcPr>
            <w:tcW w:type="dxa" w:w="40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GPT Enterprise (Copilot), Claude.ai (Enterprise)</w:t>
            </w:r>
          </w:p>
        </w:tc>
        <w:tc>
          <w:tcPr>
            <w:tcW w:type="dxa" w:w="13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사내 SSO 통합 도구</w:t>
            </w:r>
          </w:p>
        </w:tc>
        <w:tc>
          <w:tcPr>
            <w:tcW w:type="dxa" w:w="16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개인 API 키 발급 불가</w:t>
            </w:r>
          </w:p>
        </w:tc>
      </w:tr>
      <w:tr>
        <w:tc>
          <w:tcPr>
            <w:tcW w:type="dxa" w:w="17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Lv.2 실험</w:t>
            </w:r>
          </w:p>
        </w:tc>
        <w:tc>
          <w:tcPr>
            <w:tcW w:type="dxa" w:w="40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 Lv.1 + AX 샌드박스 API (Sonnet·GPT-4o·Gemini 1.5 Flash)</w:t>
            </w:r>
          </w:p>
        </w:tc>
        <w:tc>
          <w:tcPr>
            <w:tcW w:type="dxa" w:w="13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발급 공유 키</w:t>
            </w:r>
          </w:p>
        </w:tc>
        <w:tc>
          <w:tcPr>
            <w:tcW w:type="dxa" w:w="16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샌드박스 전용, G1 데이터만</w:t>
            </w:r>
          </w:p>
        </w:tc>
      </w:tr>
      <w:tr>
        <w:tc>
          <w:tcPr>
            <w:tcW w:type="dxa" w:w="17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Lv.3 개발 / AX 엔지니어</w:t>
            </w:r>
          </w:p>
        </w:tc>
        <w:tc>
          <w:tcPr>
            <w:tcW w:type="dxa" w:w="40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모든 모델 (과제 위험등급 기준 준수)</w:t>
            </w:r>
          </w:p>
        </w:tc>
        <w:tc>
          <w:tcPr>
            <w:tcW w:type="dxa" w:w="13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과제별 전용 API 키</w:t>
            </w:r>
          </w:p>
        </w:tc>
        <w:tc>
          <w:tcPr>
            <w:tcW w:type="dxa" w:w="16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기밀등급 경로 준수 의무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과제 위험등급·데이터 기밀등급에 따른 모델 배분 기준은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885"/>
        <w:gridCol w:w="3643"/>
        <w:gridCol w:w="3238"/>
      </w:tblGrid>
      <w:tr>
        <w:tc>
          <w:tcPr>
            <w:tcW w:type="dxa" w:w="18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위험등급 / 기밀등급</w:t>
            </w:r>
          </w:p>
        </w:tc>
        <w:tc>
          <w:tcPr>
            <w:tcW w:type="dxa" w:w="36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허용 모델 계열</w:t>
            </w:r>
          </w:p>
        </w:tc>
        <w:tc>
          <w:tcPr>
            <w:tcW w:type="dxa" w:w="3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배포 경로</w:t>
            </w:r>
          </w:p>
        </w:tc>
      </w:tr>
      <w:tr>
        <w:tc>
          <w:tcPr>
            <w:tcW w:type="dxa" w:w="18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저위험 / G1</w:t>
            </w:r>
          </w:p>
        </w:tc>
        <w:tc>
          <w:tcPr>
            <w:tcW w:type="dxa" w:w="36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GPT Enterprise, Claude Sonnet, Gemini 1.5 Pro</w:t>
            </w:r>
          </w:p>
        </w:tc>
        <w:tc>
          <w:tcPr>
            <w:tcW w:type="dxa" w:w="3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MS Copilot, Claude.ai, Google Workspace</w:t>
            </w:r>
          </w:p>
        </w:tc>
      </w:tr>
      <w:tr>
        <w:tc>
          <w:tcPr>
            <w:tcW w:type="dxa" w:w="18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중위험 / G1~G2</w:t>
            </w:r>
          </w:p>
        </w:tc>
        <w:tc>
          <w:tcPr>
            <w:tcW w:type="dxa" w:w="36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 Sonnet (Bedrock), GPT-4o (Azure)</w:t>
            </w:r>
          </w:p>
        </w:tc>
        <w:tc>
          <w:tcPr>
            <w:tcW w:type="dxa" w:w="3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AWS Bedrock VPC, Azure Private Endpoint</w:t>
            </w:r>
          </w:p>
        </w:tc>
      </w:tr>
      <w:tr>
        <w:tc>
          <w:tcPr>
            <w:tcW w:type="dxa" w:w="18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/ G2~G3</w:t>
            </w:r>
          </w:p>
        </w:tc>
        <w:tc>
          <w:tcPr>
            <w:tcW w:type="dxa" w:w="36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온프레미스 LLM 또는 Bedrock 격리 VPC</w:t>
            </w:r>
          </w:p>
        </w:tc>
        <w:tc>
          <w:tcPr>
            <w:tcW w:type="dxa" w:w="3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사내 서버 전용 (외부 전송 금지)</w:t>
            </w:r>
          </w:p>
        </w:tc>
      </w:tr>
      <w:tr>
        <w:tc>
          <w:tcPr>
            <w:tcW w:type="dxa" w:w="18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/ G3 (투자·운용 실행)</w:t>
            </w:r>
          </w:p>
        </w:tc>
        <w:tc>
          <w:tcPr>
            <w:tcW w:type="dxa" w:w="36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온프레미스 LLM 전용</w:t>
            </w:r>
          </w:p>
        </w:tc>
        <w:tc>
          <w:tcPr>
            <w:tcW w:type="dxa" w:w="3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온프레미스 (인터넷 차단 환경)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모델 선택 세부 기준은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800"/>
        <w:gridCol w:w="4266"/>
        <w:gridCol w:w="1700"/>
      </w:tblGrid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용도</w:t>
            </w:r>
          </w:p>
        </w:tc>
        <w:tc>
          <w:tcPr>
            <w:tcW w:type="dxa" w:w="42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권장 모델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이유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일반 요약·초안 생성</w:t>
            </w:r>
          </w:p>
        </w:tc>
        <w:tc>
          <w:tcPr>
            <w:tcW w:type="dxa" w:w="42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 Sonnet, GPT-4o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비용·품질 균형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대량 분류·라우팅·키워드 추출</w:t>
            </w:r>
          </w:p>
        </w:tc>
        <w:tc>
          <w:tcPr>
            <w:tcW w:type="dxa" w:w="42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 Haiku, Gemini 1.5 Flash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저비용 고속 처리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복잡 추론·법률·컴플라이언스 검토</w:t>
            </w:r>
          </w:p>
        </w:tc>
        <w:tc>
          <w:tcPr>
            <w:tcW w:type="dxa" w:w="42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 Opus (과제 정의서 명시 시만)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최상위 추론 성능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코드 생성·리뷰</w:t>
            </w:r>
          </w:p>
        </w:tc>
        <w:tc>
          <w:tcPr>
            <w:tcW w:type="dxa" w:w="42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GPT-4o, Claude Sonnet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코드 도메인 강점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멀티모달(이미지·문서 OCR)</w:t>
            </w:r>
          </w:p>
        </w:tc>
        <w:tc>
          <w:tcPr>
            <w:tcW w:type="dxa" w:w="42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GPT-4o Vision, Gemini 1.5 Pro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시각 처리 강점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⑤ 다음 행위는 금지한다.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최상위 모델(Opus 계열)을 비용 검토 없이 기본 모델로 설정하는 것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과제 정의서에 명시되지 않은 모델을 운영 중 임의로 교체하는 것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G2 이상 데이터를 외부 클라우드 API(Bedrock·Azure 격리 VPC 외)로 전송하는 것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4. 공급사 선택을 사용자 선호만으로 결정하는 것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⑥ 모델을 교체할 때는 과제 정의서 모델 항목을 수정하고 AX팀 검토를 거쳐야 한다. 교체 전·후 성능 비교 테스트 결과를 커밋 메시지에 기록한다.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제22조(조직 지식 축적 성숙도 평가)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AI Native 조직의 핵심 지표는 "얼마나 썼는가"가 아니라 "쓴 만큼 조직 지식이 남았는가"이다. AI를 많이 써도 그 과정이 기록·재사용·이전되지 않으면 비용만 늘고 역량은 그대로다. 이 조항은 그 축적 수준을 세 단계로 측정한다.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1단계 —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기록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만든 것을 남겼는가 [분기 측정, 정량]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 활용 결과가 다음 번에도 쓸 수 있는 형태로 저장되고 있는지를 측정한다.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605"/>
        <w:gridCol w:w="3448"/>
        <w:gridCol w:w="1773"/>
        <w:gridCol w:w="1940"/>
      </w:tblGrid>
      <w:tr>
        <w:tc>
          <w:tcPr>
            <w:tcW w:type="dxa" w:w="16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지표</w:t>
            </w:r>
          </w:p>
        </w:tc>
        <w:tc>
          <w:tcPr>
            <w:tcW w:type="dxa" w:w="34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무엇을 측정하는가</w:t>
            </w:r>
          </w:p>
        </w:tc>
        <w:tc>
          <w:tcPr>
            <w:tcW w:type="dxa" w:w="17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목표</w:t>
            </w:r>
          </w:p>
        </w:tc>
        <w:tc>
          <w:tcPr>
            <w:tcW w:type="dxa" w:w="1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측정 시점</w:t>
            </w:r>
          </w:p>
        </w:tc>
      </w:tr>
      <w:tr>
        <w:tc>
          <w:tcPr>
            <w:tcW w:type="dxa" w:w="16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완료율</w:t>
            </w:r>
          </w:p>
        </w:tc>
        <w:tc>
          <w:tcPr>
            <w:tcW w:type="dxa" w:w="34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등록 과제 중 정의서 v1 작성 비율</w:t>
            </w:r>
          </w:p>
        </w:tc>
        <w:tc>
          <w:tcPr>
            <w:tcW w:type="dxa" w:w="17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80% 이상</w:t>
            </w:r>
          </w:p>
        </w:tc>
        <w:tc>
          <w:tcPr>
            <w:tcW w:type="dxa" w:w="1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분기 말 자동 집계</w:t>
            </w:r>
          </w:p>
        </w:tc>
      </w:tr>
      <w:tr>
        <w:tc>
          <w:tcPr>
            <w:tcW w:type="dxa" w:w="16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프롬프트 저장율</w:t>
            </w:r>
          </w:p>
        </w:tc>
        <w:tc>
          <w:tcPr>
            <w:tcW w:type="dxa" w:w="34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에이전트 중 핵심 프롬프트 GitHub 저장 비율</w:t>
            </w:r>
          </w:p>
        </w:tc>
        <w:tc>
          <w:tcPr>
            <w:tcW w:type="dxa" w:w="17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100% (운영 전 필수)</w:t>
            </w:r>
          </w:p>
        </w:tc>
        <w:tc>
          <w:tcPr>
            <w:tcW w:type="dxa" w:w="1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Agent ID 발급 시 체크</w:t>
            </w:r>
          </w:p>
        </w:tc>
      </w:tr>
      <w:tr>
        <w:tc>
          <w:tcPr>
            <w:tcW w:type="dxa" w:w="16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감사 로그 근거 포함율</w:t>
            </w:r>
          </w:p>
        </w:tc>
        <w:tc>
          <w:tcPr>
            <w:tcW w:type="dxa" w:w="34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Tool Call 기록 중 "왜 이 판단을 했는가" 포함 비율</w:t>
            </w:r>
          </w:p>
        </w:tc>
        <w:tc>
          <w:tcPr>
            <w:tcW w:type="dxa" w:w="17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90% 이상</w:t>
            </w:r>
          </w:p>
        </w:tc>
        <w:tc>
          <w:tcPr>
            <w:tcW w:type="dxa" w:w="1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월간 자동 집계</w:t>
            </w:r>
          </w:p>
        </w:tc>
      </w:tr>
      <w:tr>
        <w:tc>
          <w:tcPr>
            <w:tcW w:type="dxa" w:w="16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실패 학습 기록 건수</w:t>
            </w:r>
          </w:p>
        </w:tc>
        <w:tc>
          <w:tcPr>
            <w:tcW w:type="dxa" w:w="34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폐기·반려 에이전트 중 원인·교훈 문서 작성 건</w:t>
            </w:r>
          </w:p>
        </w:tc>
        <w:tc>
          <w:tcPr>
            <w:tcW w:type="dxa" w:w="17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분기 1건 이상</w:t>
            </w:r>
          </w:p>
        </w:tc>
        <w:tc>
          <w:tcPr>
            <w:tcW w:type="dxa" w:w="1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분기 AX팀 수동 확인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과제 정의서 미작성 과제는 다음 Phase 진행을 불가로 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2단계 —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재사용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쌓인 것을 다시 꺼내 쓰는가 [반기 측정, 정량]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이전에 만든 결과물이 새 과제에 실제로 활용되는지를 측정한다.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069"/>
        <w:gridCol w:w="3620"/>
        <w:gridCol w:w="1253"/>
        <w:gridCol w:w="1824"/>
      </w:tblGrid>
      <w:tr>
        <w:tc>
          <w:tcPr>
            <w:tcW w:type="dxa" w:w="206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지표</w:t>
            </w:r>
          </w:p>
        </w:tc>
        <w:tc>
          <w:tcPr>
            <w:tcW w:type="dxa" w:w="36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무엇을 측정하는가</w:t>
            </w:r>
          </w:p>
        </w:tc>
        <w:tc>
          <w:tcPr>
            <w:tcW w:type="dxa" w:w="125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목표</w:t>
            </w:r>
          </w:p>
        </w:tc>
        <w:tc>
          <w:tcPr>
            <w:tcW w:type="dxa" w:w="1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측정 시점</w:t>
            </w:r>
          </w:p>
        </w:tc>
      </w:tr>
      <w:tr>
        <w:tc>
          <w:tcPr>
            <w:tcW w:type="dxa" w:w="206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Prompt Caching 적용율</w:t>
            </w:r>
          </w:p>
        </w:tc>
        <w:tc>
          <w:tcPr>
            <w:tcW w:type="dxa" w:w="36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동일 입력 반복 구간(시스템 프롬프트·참조 문서)에 캐싱 적용 비율</w:t>
            </w:r>
          </w:p>
        </w:tc>
        <w:tc>
          <w:tcPr>
            <w:tcW w:type="dxa" w:w="125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50% 이상</w:t>
            </w:r>
          </w:p>
        </w:tc>
        <w:tc>
          <w:tcPr>
            <w:tcW w:type="dxa" w:w="1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반기 AX팀 코드 점검</w:t>
            </w:r>
          </w:p>
        </w:tc>
      </w:tr>
      <w:tr>
        <w:tc>
          <w:tcPr>
            <w:tcW w:type="dxa" w:w="206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후 재작업율</w:t>
            </w:r>
          </w:p>
        </w:tc>
        <w:tc>
          <w:tcPr>
            <w:tcW w:type="dxa" w:w="36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시 AX팀이 CREW 코드를 처음부터 다시 짠 비율</w:t>
            </w:r>
          </w:p>
        </w:tc>
        <w:tc>
          <w:tcPr>
            <w:tcW w:type="dxa" w:w="125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30% 이하</w:t>
            </w:r>
          </w:p>
        </w:tc>
        <w:tc>
          <w:tcPr>
            <w:tcW w:type="dxa" w:w="1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완료 후 2주 내 기록</w:t>
            </w:r>
          </w:p>
        </w:tc>
      </w:tr>
      <w:tr>
        <w:tc>
          <w:tcPr>
            <w:tcW w:type="dxa" w:w="206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사례 인용 건수</w:t>
            </w:r>
          </w:p>
        </w:tc>
        <w:tc>
          <w:tcPr>
            <w:tcW w:type="dxa" w:w="36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신규 과제 정의서에서 기존 과제·프롬프트를 참조한 건수</w:t>
            </w:r>
          </w:p>
        </w:tc>
        <w:tc>
          <w:tcPr>
            <w:tcW w:type="dxa" w:w="125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반기 3건 이상</w:t>
            </w:r>
          </w:p>
        </w:tc>
        <w:tc>
          <w:tcPr>
            <w:tcW w:type="dxa" w:w="18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반기 인벤토리 검토 시 집계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재작업율 30% 초과 시 해당 CREW를 이관 전 완성도 기준 재교육 대상으로 분류한다.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3단계 —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이전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사람이 바뀌어도 굴러가는가 [반기 측정, 정성]</w:t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담당자가 떠나도 업무가 끊기지 않는지를 측정한다.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613"/>
        <w:gridCol w:w="2987"/>
        <w:gridCol w:w="2698"/>
        <w:gridCol w:w="1468"/>
      </w:tblGrid>
      <w:tr>
        <w:tc>
          <w:tcPr>
            <w:tcW w:type="dxa" w:w="16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지표</w:t>
            </w:r>
          </w:p>
        </w:tc>
        <w:tc>
          <w:tcPr>
            <w:tcW w:type="dxa" w:w="29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무엇을 측정하는가</w:t>
            </w:r>
          </w:p>
        </w:tc>
        <w:tc>
          <w:tcPr>
            <w:tcW w:type="dxa" w:w="269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평가 방법</w:t>
            </w:r>
          </w:p>
        </w:tc>
        <w:tc>
          <w:tcPr>
            <w:tcW w:type="dxa" w:w="1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측정 시점</w:t>
            </w:r>
          </w:p>
        </w:tc>
      </w:tr>
      <w:tr>
        <w:tc>
          <w:tcPr>
            <w:tcW w:type="dxa" w:w="16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신규 CREW 온보딩 기간</w:t>
            </w:r>
          </w:p>
        </w:tc>
        <w:tc>
          <w:tcPr>
            <w:tcW w:type="dxa" w:w="29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처음 합류한 CREW가 첫 과제를 제출하기까지 걸린 주 수</w:t>
            </w:r>
          </w:p>
        </w:tc>
        <w:tc>
          <w:tcPr>
            <w:tcW w:type="dxa" w:w="269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전 분기 대비 단축 여부</w:t>
            </w:r>
          </w:p>
        </w:tc>
        <w:tc>
          <w:tcPr>
            <w:tcW w:type="dxa" w:w="1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반기 HR 데이터 연계</w:t>
            </w:r>
          </w:p>
        </w:tc>
      </w:tr>
      <w:tr>
        <w:tc>
          <w:tcPr>
            <w:tcW w:type="dxa" w:w="16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업무 연속성</w:t>
            </w:r>
          </w:p>
        </w:tc>
        <w:tc>
          <w:tcPr>
            <w:tcW w:type="dxa" w:w="29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핵심 인력 이탈 시 에이전트로 커버 가능한 업무 비율</w:t>
            </w:r>
          </w:p>
        </w:tc>
        <w:tc>
          <w:tcPr>
            <w:tcW w:type="dxa" w:w="269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 + 현업 부서장 인터뷰</w:t>
            </w:r>
          </w:p>
        </w:tc>
        <w:tc>
          <w:tcPr>
            <w:tcW w:type="dxa" w:w="1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이탈 발생 시 즉시</w:t>
            </w:r>
          </w:p>
        </w:tc>
      </w:tr>
      <w:tr>
        <w:tc>
          <w:tcPr>
            <w:tcW w:type="dxa" w:w="16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에이전트 독립성</w:t>
            </w:r>
          </w:p>
        </w:tc>
        <w:tc>
          <w:tcPr>
            <w:tcW w:type="dxa" w:w="29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"이 에이전트를 만든 사람 없이도 운영·수정 가능한가" 심사</w:t>
            </w:r>
          </w:p>
        </w:tc>
        <w:tc>
          <w:tcPr>
            <w:tcW w:type="dxa" w:w="269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가능(맥락 문서화 완료) / 불가(담당자에게 종속됨)</w:t>
            </w:r>
          </w:p>
        </w:tc>
        <w:tc>
          <w:tcPr>
            <w:tcW w:type="dxa" w:w="1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반기 인벤토리 검토 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에이전트 독립성 "불가" 판정 시 맥락 문서화 작업을 다음 분기 필수 과제로 등록한다.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⑤ 보고 및 활용 기준은 다음과 같다.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AX팀은 반기 운영 보고 시 1·2단계 집계, 3단계 정성 평가 결과를 AX 위원회에 보고한다.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개인 사용량은 부서 단위로 익명화하여 보고하며, 개인 식별 정보를 인사 평가에 직접 연계하지 않는다.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AI CREW 등급 심사 시 본인 동의 하에 1단계 지표를 참조할 수 있다.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4. 1단계 목표 2개 이상 미달 부서는 다음 반기 과제 등록 상한을 1건으로 제한한다.</w:t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5A5A5A"/>
          <w:sz w:val="18"/>
          <w:szCs w:val="18"/>
        </w:rPr>
        <w:t xml:space="preserve">AX/PI센터 AX팀 | IT-AX-OPS-003 | v1.1 | 2026-07-06</w:t>
      </w:r>
    </w:p>
    <w:p>
      <w:r>
        <w:br w:type="page"/>
      </w:r>
    </w:p>
    <w:p>
      <w:pPr>
        <w:pBdr>
          <w:bottom w:val="single" w:color="AAAAAA" w:sz="6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문서 정보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400"/>
        <w:gridCol w:w="7366"/>
      </w:tblGrid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문서번호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IT-AX-OPS-003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버전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/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2026-07-06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소관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AX/PI센터 AX팀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적용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AX팀·AI CREW·현업 부서장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 w:space="3"/>
      </w:pBdr>
      <w:spacing w:before="60"/>
      <w:jc w:val="right"/>
    </w:pPr>
    <w:r>
      <w:rPr>
        <w:rFonts w:ascii="Batang" w:cs="Batang" w:eastAsia="Batang" w:hAnsi="Batang"/>
        <w:color w:val="1C1C1C"/>
        <w:sz w:val="18"/>
        <w:szCs w:val="18"/>
      </w:rPr>
      <w:t xml:space="preserve">AX/PI센터 AX팀  |  2026-07-06  | 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Batang" w:cs="Batang" w:eastAsia="Batang" w:hAnsi="Batang"/>
        <w:color w:val="1C1C1C"/>
        <w:sz w:val="18"/>
        <w:szCs w:val="18"/>
      </w:rPr>
      <w:t xml:space="preserve"> /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3"/>
      </w:pBdr>
      <w:tabs>
        <w:tab w:val="right" w:pos="8766"/>
      </w:tabs>
      <w:spacing w:after="60"/>
    </w:pPr>
    <w:r>
      <w:rPr>
        <w:rFonts w:ascii="Batang" w:cs="Batang" w:eastAsia="Batang" w:hAnsi="Batang"/>
        <w:b/>
        <w:bCs/>
        <w:color w:val="1C1C1C"/>
        <w:sz w:val="18"/>
        <w:szCs w:val="18"/>
      </w:rPr>
      <w:t xml:space="preserve">삼성자산운용 주식회사  </w:t>
    </w:r>
    <w:r>
      <w:rPr>
        <w:rFonts w:ascii="Batang" w:cs="Batang" w:eastAsia="Batang" w:hAnsi="Batang"/>
        <w:color w:val="1C1C1C"/>
        <w:sz w:val="18"/>
        <w:szCs w:val="18"/>
      </w:rPr>
      <w:t xml:space="preserve">AI 에이전트 등록·통제 지침</w:t>
    </w:r>
    <w:r>
      <w:rPr>
        <w:rFonts w:ascii="Batang" w:cs="Batang" w:eastAsia="Batang" w:hAnsi="Batang"/>
        <w:color w:val="1C1C1C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color w:val="1C1C1C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80" w:line="312" w:lineRule="auto"/>
      <w:outlineLvl w:val="1"/>
    </w:pPr>
    <w:rPr>
      <w:rFonts w:ascii="Batang" w:cs="Batang" w:eastAsia="Batang" w:hAnsi="Batang"/>
      <w:b/>
      <w:bCs/>
      <w:color w:val="1C1C1C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 w:line="312" w:lineRule="auto"/>
      <w:outlineLvl w:val="2"/>
    </w:pPr>
    <w:rPr>
      <w:rFonts w:ascii="Batang" w:cs="Batang" w:eastAsia="Batang" w:hAnsi="Batang"/>
      <w:b/>
      <w:bCs/>
      <w:color w:val="1C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2026-07-06T10:43:19.718Z</dcterms:created>
  <dcterms:modified xsi:type="dcterms:W3CDTF">2026-07-06T10:43:19.718Z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