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  <w:r>
        <w:t xml:space="preserve"/>
      </w:r>
    </w:p>
    <w:p>
      <w:pPr>
        <w:spacing w:after="4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24"/>
          <w:szCs w:val="24"/>
        </w:rPr>
        <w:t xml:space="preserve">삼성자산운용 주식회사</w:t>
      </w:r>
    </w:p>
    <w:p>
      <w:pPr>
        <w:spacing w:after="160" w:before="0" w:line="312" w:lineRule="auto"/>
        <w:ind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0"/>
          <w:szCs w:val="20"/>
        </w:rPr>
        <w:t xml:space="preserve">AX/PI센터 AX팀</w:t>
      </w:r>
    </w:p>
    <w:p>
      <w:pPr>
        <w:pBdr>
          <w:bottom w:val="single" w:color="AAAAAA" w:sz="8"/>
        </w:pBdr>
        <w:spacing w:after="240"/>
      </w:pPr>
      <w:r>
        <w:t xml:space="preserve"/>
      </w:r>
    </w:p>
    <w:p>
      <w:pP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56"/>
          <w:szCs w:val="56"/>
        </w:rPr>
        <w:t xml:space="preserve">AI 조직 역할 및 성과관리 지침</w:t>
      </w:r>
    </w:p>
    <w:p>
      <w:pPr>
        <w:spacing w:after="3200"/>
      </w:pPr>
      <w:r>
        <w:t xml:space="preserve"/>
      </w:r>
    </w:p>
    <w:tbl>
      <w:tblPr>
        <w:tblW w:type="dxa" w:w="4400"/>
        <w:jc w:val="right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300"/>
        <w:gridCol w:w="3100"/>
      </w:tblGrid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IT-AX-OPS-005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버전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최종 수정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2026-07-06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운영 지침 (AX팀·AI CREW·부서장)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소관 부서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AX/PI센터 AX팀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 w:before="0" w:line="312" w:lineRule="auto"/>
        <w:ind w:right="0"/>
        <w:jc w:val="right"/>
      </w:pPr>
      <w:r>
        <w:rPr>
          <w:rFonts w:ascii="Batang" w:cs="Batang" w:eastAsia="Batang" w:hAnsi="Batang"/>
          <w:b w:val="false"/>
          <w:bCs w:val="false"/>
          <w:color w:val="1C1C1C"/>
          <w:sz w:val="18"/>
          <w:szCs w:val="18"/>
        </w:rPr>
        <w:t xml:space="preserve">내부용 (Internal Use Only)</w:t>
      </w:r>
    </w:p>
    <w:p>
      <w:r>
        <w:br w:type="page"/>
      </w:r>
    </w:p>
    <w:p>
      <w:pPr>
        <w:pBdr>
          <w:bottom w:val="single" w:color="AAAAAA" w:sz="10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4"/>
          <w:szCs w:val="34"/>
        </w:rPr>
        <w:t xml:space="preserve">목차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제1장 총칙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제1조(목적)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제2조(적용 범위)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제3조(용어의 정의)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제2장 변화관리 및 사내 커뮤니케이션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제4조(기본 입장)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제5조(AI CREW 모집 및 온보딩)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제6조(파일럿 성과 공유)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제7조(팀장 역할)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제8조(얼리어답터 인정)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제3장 AX팀-현업 R&amp;R 매트릭스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제9조(과제 신청·처리 기준 역할 흐름)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제10조(Phase별 R&amp;R 매트릭스)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제11조(에스컬레이션 기준)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제4장 우수 에이전트 인정 및 보상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제12조(목적 및 원칙)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제13조(우수 에이전트 선정 기준)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제14조(보상 등급 및 지원)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제15조(심사 운영)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제16조(실패 리뷰 제도)</w:t>
      </w:r>
    </w:p>
    <w:p>
      <w:r>
        <w:br w:type="pag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AI 조직 역할 및 성과관리 지침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제1장 총칙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제1조(목적)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지침은 「AI 거버넌스 규정」(IT-AX-REG-001)에서 위임한 사항과 AI 도입에 따른 변화관리, 조직 간 역할·책임 분담, 우수 에이전트 인정 및 보상에 필요한 세부 기준을 정함을 목적으로 한다.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제2조(적용 범위)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지침은 삼성자산운용 전 임직원 중 AI 과제에 참여하는 AI CREW, AX팀, 현업 부서장, 및 AX 위원회에 적용한다.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제3조(용어의 정의)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지침에서 사용하는 용어의 정의는 다음과 같다.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"변화관리"란 AI 도입 과정에서 조직 구성원의 인식 변화, 역량 개발, 커뮤니케이션을 체계적으로 관리하는 활동을 말한다.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"우수 에이전트"란 사전 합의된 KPI를 충족하고 지속적으로 운영되는 에이전트를 말한다.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"R&amp;R 매트릭스"란 AI 과제 각 Phase에서 현업, AX팀, AX 위원회의 역할과 책임을 정리한 표를 말한다.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제2장 변화관리 및 사내 커뮤니케이션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제4조(기본 입장)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AI는 담당자의 판단을 보조하는 도구다.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AI 도입은 업무를 대체하는 것이 아니라, 반복·단순 업무를 줄여 담당자가 더 높은 가치 업무에 집중하도록 지원하기 위한 것이다.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AX팀은 제1항 및 제2항의 메시지를 일관되게 전달할 책임을 진다.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제5조(AI CREW 모집 및 온보딩)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AI CREW 자원은 AX팀에 직접 문의하여 신청한다.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신청 후 AX팀이 부서별 배정을 조율하고 초기 교육을 제공한다.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처음 시작하는 AI CREW는 Lv.1(탐색) 등급부터 시작하며, Claude.ai·ChatGPT 직접 활용(유형 2, G1 데이터)으로 진입한다.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AX팀은 Lv.1 대상 "첫 번째 과제 30분 시작 가이드"를 제공한다.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제6조(파일럿 성과 공유)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파일럿이 완료된 과제 중 공유 가능한 결과는 AX팀이 사내 채널에 공유한다.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공유 형식은 어떤 업무에 적용했는지, 어떤 결과가 나왔는지, 어떻게 쓸 수 있는지(수치 포함)로 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실패한 PoC도 학습 공유 대상이다. 왜 안 됐는지를 공유하는 것도 혁신의 일부다.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제7조(팀장 역할)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팀장은 직원의 AI CREW 자원을 승인하고 파일럿 참여를 지원하는 역할을 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3529"/>
        <w:gridCol w:w="5237"/>
      </w:tblGrid>
      <w:tr>
        <w:tc>
          <w:tcPr>
            <w:tcW w:type="dxa" w:w="352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상황</w:t>
            </w:r>
          </w:p>
        </w:tc>
        <w:tc>
          <w:tcPr>
            <w:tcW w:type="dxa" w:w="52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팀장 역할</w:t>
            </w:r>
          </w:p>
        </w:tc>
      </w:tr>
      <w:tr>
        <w:tc>
          <w:tcPr>
            <w:tcW w:type="dxa" w:w="352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CREW 자원 시</w:t>
            </w:r>
          </w:p>
        </w:tc>
        <w:tc>
          <w:tcPr>
            <w:tcW w:type="dxa" w:w="52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부서 내 적합자 추천 또는 승인</w:t>
            </w:r>
          </w:p>
        </w:tc>
      </w:tr>
      <w:tr>
        <w:tc>
          <w:tcPr>
            <w:tcW w:type="dxa" w:w="352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파일럿 진행 중</w:t>
            </w:r>
          </w:p>
        </w:tc>
        <w:tc>
          <w:tcPr>
            <w:tcW w:type="dxa" w:w="52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현업 데이터 제공, 일정 조율 지원</w:t>
            </w:r>
          </w:p>
        </w:tc>
      </w:tr>
      <w:tr>
        <w:tc>
          <w:tcPr>
            <w:tcW w:type="dxa" w:w="352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승격 심사</w:t>
            </w:r>
          </w:p>
        </w:tc>
        <w:tc>
          <w:tcPr>
            <w:tcW w:type="dxa" w:w="52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현업 부서장 승인 참여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제8조(얼리어답터 인정)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AX팀은 분기별로 과제 기여가 높은 AI CREW를 AX/PI센터장에게 보고한다.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인정 방식은 AX/PI센터 내부 운영 방식에 따른다.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제3장 AX팀-현업 R&amp;R 매트릭스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제9조(과제 신청·처리 기준 역할 흐름)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과제 신청 및 처리 흐름은 다음과 같다.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현업(AI CREW)이 AX팀에 과제를 신청한다.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AX팀은 스코어카드 자동 평가를 실시하여 결과를 통보한다.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70점 이상 + G1/G2: 자동 승인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G3 또는 미달: AX팀장 검토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Phase 2~3 구간은 AI CREW가 G1 범위 내에서 자율 운용한다.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Phase 4 MVP 단계부터 AX팀이 개발을 협업·주도한다.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⑤ Phase 6 파일럿 단계에서 AX팀이 임시 ID를 발급하고 현업이 UAT를 수행한다.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⑥ Phase 7 고위험 과제는 AX 위원회의 최종 승인을 받아야 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제10조(Phase별 R&amp;R 매트릭스)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각 Phase에서 현업(AI CREW), AX팀, 협조 부서의 역할은 다음과 같다.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068"/>
        <w:gridCol w:w="2379"/>
        <w:gridCol w:w="2940"/>
        <w:gridCol w:w="2379"/>
      </w:tblGrid>
      <w:tr>
        <w:tc>
          <w:tcPr>
            <w:tcW w:type="dxa" w:w="10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Phase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현업 (AI CREW) 역할</w:t>
            </w:r>
          </w:p>
        </w:tc>
        <w:tc>
          <w:tcPr>
            <w:tcW w:type="dxa" w:w="2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AX팀 역할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협조 부서</w:t>
            </w:r>
          </w:p>
        </w:tc>
      </w:tr>
      <w:tr>
        <w:tc>
          <w:tcPr>
            <w:tcW w:type="dxa" w:w="10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0 발굴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As-Is 분석, 아이디어 발굴</w:t>
            </w:r>
          </w:p>
        </w:tc>
        <w:tc>
          <w:tcPr>
            <w:tcW w:type="dxa" w:w="2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존재 인식, 아이디어 상담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0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 기획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v0 작성, 신청</w:t>
            </w:r>
          </w:p>
        </w:tc>
        <w:tc>
          <w:tcPr>
            <w:tcW w:type="dxa" w:w="2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스코어카드 평가, 결과 통보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0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 설계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요구사항 확인, 데이터 가용성 확인</w:t>
            </w:r>
          </w:p>
        </w:tc>
        <w:tc>
          <w:tcPr>
            <w:tcW w:type="dxa" w:w="2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v1 작성, 기술 설계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AI데이터플랫폼팀(G2 인프라)</w:t>
            </w:r>
          </w:p>
        </w:tc>
      </w:tr>
      <w:tr>
        <w:tc>
          <w:tcPr>
            <w:tcW w:type="dxa" w:w="10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3 MVP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합성 데이터 검증 협조</w:t>
            </w:r>
          </w:p>
        </w:tc>
        <w:tc>
          <w:tcPr>
            <w:tcW w:type="dxa" w:w="2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MVP 개발 주도, 내부 테스트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AI데이터플랫폼팀(샘플 데이터)</w:t>
            </w:r>
          </w:p>
        </w:tc>
      </w:tr>
      <w:tr>
        <w:tc>
          <w:tcPr>
            <w:tcW w:type="dxa" w:w="10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4 심사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이해관계자 확인, 현업 승인</w:t>
            </w:r>
          </w:p>
        </w:tc>
        <w:tc>
          <w:tcPr>
            <w:tcW w:type="dxa" w:w="2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심사 보고서 작성, 위험 평가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정보전략팀·컴플라이언스(고위험)</w:t>
            </w:r>
          </w:p>
        </w:tc>
      </w:tr>
      <w:tr>
        <w:tc>
          <w:tcPr>
            <w:tcW w:type="dxa" w:w="10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5 파일럿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UAT 수행, KPI 측정, 피드백</w:t>
            </w:r>
          </w:p>
        </w:tc>
        <w:tc>
          <w:tcPr>
            <w:tcW w:type="dxa" w:w="2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임시 ID 발급, 파일럿 운영 지원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AI데이터플랫폼팀(실데이터 SLA)</w:t>
            </w:r>
          </w:p>
        </w:tc>
      </w:tr>
      <w:tr>
        <w:tc>
          <w:tcPr>
            <w:tcW w:type="dxa" w:w="10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6 운영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현업 활용, 이상 신고</w:t>
            </w:r>
          </w:p>
        </w:tc>
        <w:tc>
          <w:tcPr>
            <w:tcW w:type="dxa" w:w="29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정식 ID 발급, 모니터링, 개선, 폐기 판단</w:t>
            </w:r>
          </w:p>
        </w:tc>
        <w:tc>
          <w:tcPr>
            <w:tcW w:type="dxa" w:w="23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위원회(고위험)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제11조(에스컬레이션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다음 각 호의 상황이 발생하면 해당 에스컬레이션 절차를 즉시 이행한다.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411"/>
        <w:gridCol w:w="2411"/>
        <w:gridCol w:w="3944"/>
      </w:tblGrid>
      <w:tr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상황</w:t>
            </w:r>
          </w:p>
        </w:tc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에스컬레이션 대상</w:t>
            </w:r>
          </w:p>
        </w:tc>
        <w:tc>
          <w:tcPr>
            <w:tcW w:type="dxa" w:w="39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처리 기준</w:t>
            </w:r>
          </w:p>
        </w:tc>
      </w:tr>
      <w:tr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G3 데이터 포함</w:t>
            </w:r>
          </w:p>
        </w:tc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 → 컴플라이언스</w:t>
            </w:r>
          </w:p>
        </w:tc>
        <w:tc>
          <w:tcPr>
            <w:tcW w:type="dxa" w:w="39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컴플라이언스 승인 없이 진행 불가</w:t>
            </w:r>
          </w:p>
        </w:tc>
      </w:tr>
      <w:tr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68~72점 경계구간</w:t>
            </w:r>
          </w:p>
        </w:tc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 직접 검토</w:t>
            </w:r>
          </w:p>
        </w:tc>
        <w:tc>
          <w:tcPr>
            <w:tcW w:type="dxa" w:w="39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자동 처리 금지</w:t>
            </w:r>
          </w:p>
        </w:tc>
      </w:tr>
      <w:tr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운영 승격</w:t>
            </w:r>
          </w:p>
        </w:tc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위원회</w:t>
            </w:r>
          </w:p>
        </w:tc>
        <w:tc>
          <w:tcPr>
            <w:tcW w:type="dxa" w:w="39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위원회 의결 후 개시</w:t>
            </w:r>
          </w:p>
        </w:tc>
      </w:tr>
      <w:tr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보안 사고 발생</w:t>
            </w:r>
          </w:p>
        </w:tc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 → 정보전략팀</w:t>
            </w:r>
          </w:p>
        </w:tc>
        <w:tc>
          <w:tcPr>
            <w:tcW w:type="dxa" w:w="39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즉시 Suspended, 원인 분석 후 복구</w:t>
            </w:r>
          </w:p>
        </w:tc>
      </w:tr>
      <w:tr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12개월 미사용 에이전트</w:t>
            </w:r>
          </w:p>
        </w:tc>
        <w:tc>
          <w:tcPr>
            <w:tcW w:type="dxa" w:w="24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</w:t>
            </w:r>
          </w:p>
        </w:tc>
        <w:tc>
          <w:tcPr>
            <w:tcW w:type="dxa" w:w="39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폐기 검토 개시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제4장 우수 에이전트 인정 및 보상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제12조(목적 및 원칙)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잘 만들어진 에이전트와 이를 개발한 AI CREW를 공식적으로 인정하고 보상함으로써 자발적 혁신 동력을 유지하고 사내 AI 문화를 확산시킨다.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과제 정의서 v1에 목표값을 사전 합의한 지표만 유효한 평가 기준으로 인정한다. 사전 합의가 없으면 해당 기준은 0점으로 처리한다.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제13조(우수 에이전트 선정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우수 에이전트 선정은 두 단계로 이루어진다. 1단계에서 진입 자격을 검토하고, 자격을 충족한 에이전트에 한해 2단계 정량 평가를 실시한다.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1단계 — 진입 자격 (이 중 하나라도 미충족 시 평가 제외)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906"/>
        <w:gridCol w:w="4518"/>
        <w:gridCol w:w="2342"/>
      </w:tblGrid>
      <w:tr>
        <w:tc>
          <w:tcPr>
            <w:tcW w:type="dxa" w:w="19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  <w:tc>
          <w:tcPr>
            <w:tcW w:type="dxa" w:w="45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  <w:tc>
          <w:tcPr>
            <w:tcW w:type="dxa" w:w="23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확인 방법</w:t>
            </w:r>
          </w:p>
        </w:tc>
      </w:tr>
      <w:tr>
        <w:tc>
          <w:tcPr>
            <w:tcW w:type="dxa" w:w="19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기간</w:t>
            </w:r>
          </w:p>
        </w:tc>
        <w:tc>
          <w:tcPr>
            <w:tcW w:type="dxa" w:w="45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운영(🟢 Active) 상태 90일 이상 유지</w:t>
            </w:r>
          </w:p>
        </w:tc>
        <w:tc>
          <w:tcPr>
            <w:tcW w:type="dxa" w:w="23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인벤토리 자동 확인</w:t>
            </w:r>
          </w:p>
        </w:tc>
      </w:tr>
      <w:tr>
        <w:tc>
          <w:tcPr>
            <w:tcW w:type="dxa" w:w="19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사전 합의 KPI</w:t>
            </w:r>
          </w:p>
        </w:tc>
        <w:tc>
          <w:tcPr>
            <w:tcW w:type="dxa" w:w="45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v1에 KPI 목표값 기재 완료</w:t>
            </w:r>
          </w:p>
        </w:tc>
        <w:tc>
          <w:tcPr>
            <w:tcW w:type="dxa" w:w="23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v1 검토</w:t>
            </w:r>
          </w:p>
        </w:tc>
      </w:tr>
      <w:tr>
        <w:tc>
          <w:tcPr>
            <w:tcW w:type="dxa" w:w="19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감사 로그 완비</w:t>
            </w:r>
          </w:p>
        </w:tc>
        <w:tc>
          <w:tcPr>
            <w:tcW w:type="dxa" w:w="45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기간 내 Tool Call 기록 90% 이상</w:t>
            </w:r>
          </w:p>
        </w:tc>
        <w:tc>
          <w:tcPr>
            <w:tcW w:type="dxa" w:w="23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감사 로그 자동 집계</w:t>
            </w:r>
          </w:p>
        </w:tc>
      </w:tr>
      <w:tr>
        <w:tc>
          <w:tcPr>
            <w:tcW w:type="dxa" w:w="19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중대 사고 없음</w:t>
            </w:r>
          </w:p>
        </w:tc>
        <w:tc>
          <w:tcPr>
            <w:tcW w:type="dxa" w:w="45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기간 내 보안 사고·비인가 데이터 접근 0건</w:t>
            </w:r>
          </w:p>
        </w:tc>
        <w:tc>
          <w:tcPr>
            <w:tcW w:type="dxa" w:w="234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인시던트 로그 확인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2단계 — 정량 평가 (100점 만점)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992"/>
        <w:gridCol w:w="712"/>
        <w:gridCol w:w="2783"/>
        <w:gridCol w:w="1272"/>
        <w:gridCol w:w="3007"/>
      </w:tblGrid>
      <w:tr>
        <w:tc>
          <w:tcPr>
            <w:tcW w:type="dxa" w:w="99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  <w:tc>
          <w:tcPr>
            <w:tcW w:type="dxa" w:w="7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배점</w:t>
            </w:r>
          </w:p>
        </w:tc>
        <w:tc>
          <w:tcPr>
            <w:tcW w:type="dxa" w:w="2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측정 방법</w:t>
            </w:r>
          </w:p>
        </w:tc>
        <w:tc>
          <w:tcPr>
            <w:tcW w:type="dxa" w:w="12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데이터 소스</w:t>
            </w:r>
          </w:p>
        </w:tc>
        <w:tc>
          <w:tcPr>
            <w:tcW w:type="dxa" w:w="30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왜 이 기준인가</w:t>
            </w:r>
          </w:p>
        </w:tc>
      </w:tr>
      <w:tr>
        <w:tc>
          <w:tcPr>
            <w:tcW w:type="dxa" w:w="99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KPI 달성률</w:t>
            </w:r>
          </w:p>
        </w:tc>
        <w:tc>
          <w:tcPr>
            <w:tcW w:type="dxa" w:w="7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30</w:t>
            </w:r>
          </w:p>
        </w:tc>
        <w:tc>
          <w:tcPr>
            <w:tcW w:type="dxa" w:w="2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v1 목표 대비 실적 달성 %</w:t>
            </w:r>
          </w:p>
        </w:tc>
        <w:tc>
          <w:tcPr>
            <w:tcW w:type="dxa" w:w="12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감사 로그 자동 집계</w:t>
            </w:r>
          </w:p>
        </w:tc>
        <w:tc>
          <w:tcPr>
            <w:tcW w:type="dxa" w:w="30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AI가 실제 목표에 기여하는지 측정. 목표 없이 "쓰고 있다"는 증거가 안 됨</w:t>
            </w:r>
          </w:p>
        </w:tc>
      </w:tr>
      <w:tr>
        <w:tc>
          <w:tcPr>
            <w:tcW w:type="dxa" w:w="99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ROI 실현</w:t>
            </w:r>
          </w:p>
        </w:tc>
        <w:tc>
          <w:tcPr>
            <w:tcW w:type="dxa" w:w="7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25</w:t>
            </w:r>
          </w:p>
        </w:tc>
        <w:tc>
          <w:tcPr>
            <w:tcW w:type="dxa" w:w="2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업무 시간 절감 또는 비용 절감 (연환산, 현업 부서장 서명)</w:t>
            </w:r>
          </w:p>
        </w:tc>
        <w:tc>
          <w:tcPr>
            <w:tcW w:type="dxa" w:w="12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현업 부서장 확인서</w:t>
            </w:r>
          </w:p>
        </w:tc>
        <w:tc>
          <w:tcPr>
            <w:tcW w:type="dxa" w:w="30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투자 대비 회수가 명확해야 조직이 지속 투자할 수 있음</w:t>
            </w:r>
          </w:p>
        </w:tc>
      </w:tr>
      <w:tr>
        <w:tc>
          <w:tcPr>
            <w:tcW w:type="dxa" w:w="99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지속 활용</w:t>
            </w:r>
          </w:p>
        </w:tc>
        <w:tc>
          <w:tcPr>
            <w:tcW w:type="dxa" w:w="7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20</w:t>
            </w:r>
          </w:p>
        </w:tc>
        <w:tc>
          <w:tcPr>
            <w:tcW w:type="dxa" w:w="2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90일 이상 + 월 평균 활용 빈도 파일럿 대비 유지 또는 증가</w:t>
            </w:r>
          </w:p>
        </w:tc>
        <w:tc>
          <w:tcPr>
            <w:tcW w:type="dxa" w:w="12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인벤토리 자동 집계</w:t>
            </w:r>
          </w:p>
        </w:tc>
        <w:tc>
          <w:tcPr>
            <w:tcW w:type="dxa" w:w="30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한 번 쓰고 방치된 에이전트가 아닌, 일상에 정착한 에이전트를 선정</w:t>
            </w:r>
          </w:p>
        </w:tc>
      </w:tr>
      <w:tr>
        <w:tc>
          <w:tcPr>
            <w:tcW w:type="dxa" w:w="99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문서화 완성도</w:t>
            </w:r>
          </w:p>
        </w:tc>
        <w:tc>
          <w:tcPr>
            <w:tcW w:type="dxa" w:w="7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15</w:t>
            </w:r>
          </w:p>
        </w:tc>
        <w:tc>
          <w:tcPr>
            <w:tcW w:type="dxa" w:w="2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프롬프트·운영 매뉴얼·장애 대응 절차·감사 로그 4가지 모두 완비 여부</w:t>
            </w:r>
          </w:p>
        </w:tc>
        <w:tc>
          <w:tcPr>
            <w:tcW w:type="dxa" w:w="12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체크리스트 검토</w:t>
            </w:r>
          </w:p>
        </w:tc>
        <w:tc>
          <w:tcPr>
            <w:tcW w:type="dxa" w:w="30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담당자가 바뀌어도 에이전트가 운영되려면 문서가 있어야 함</w:t>
            </w:r>
          </w:p>
        </w:tc>
      </w:tr>
      <w:tr>
        <w:tc>
          <w:tcPr>
            <w:tcW w:type="dxa" w:w="99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혁신성</w:t>
            </w:r>
          </w:p>
        </w:tc>
        <w:tc>
          <w:tcPr>
            <w:tcW w:type="dxa" w:w="7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10</w:t>
            </w:r>
          </w:p>
        </w:tc>
        <w:tc>
          <w:tcPr>
            <w:tcW w:type="dxa" w:w="27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아래 항목 중 해당 건수 × 5점 (최대 10점)</w:t>
            </w:r>
          </w:p>
        </w:tc>
        <w:tc>
          <w:tcPr>
            <w:tcW w:type="dxa" w:w="12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수동 평가</w:t>
            </w:r>
          </w:p>
        </w:tc>
        <w:tc>
          <w:tcPr>
            <w:tcW w:type="dxa" w:w="30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사내 AI 문화 확산에 기여한 에이전트를 추가 인정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혁신성 세부 기준: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삼성자산운용 내 해당 업무 영역 AI 최초 적용 (+5점)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Batang" w:cs="Batang" w:eastAsia="Batang" w:hAnsi="Batang"/>
          <w:b w:val="false"/>
          <w:bCs w:val="false"/>
          <w:color w:val="1C1C1C"/>
          <w:sz w:val="21"/>
          <w:szCs w:val="21"/>
        </w:rPr>
        <w:t xml:space="preserve">동일 에이전트 또는 프롬프트를 타 부서가 참고해 과제를 신청함 (+5점)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점수 계산 예시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954"/>
        <w:gridCol w:w="890"/>
        <w:gridCol w:w="890"/>
        <w:gridCol w:w="793"/>
        <w:gridCol w:w="793"/>
        <w:gridCol w:w="793"/>
        <w:gridCol w:w="793"/>
        <w:gridCol w:w="1860"/>
      </w:tblGrid>
      <w:tr>
        <w:tc>
          <w:tcPr>
            <w:tcW w:type="dxa" w:w="1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사례</w:t>
            </w:r>
          </w:p>
        </w:tc>
        <w:tc>
          <w:tcPr>
            <w:tcW w:type="dxa" w:w="8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KPI</w:t>
            </w:r>
          </w:p>
        </w:tc>
        <w:tc>
          <w:tcPr>
            <w:tcW w:type="dxa" w:w="8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ROI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지속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혁신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합계</w:t>
            </w:r>
          </w:p>
        </w:tc>
        <w:tc>
          <w:tcPr>
            <w:tcW w:type="dxa" w:w="1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판정</w:t>
            </w:r>
          </w:p>
        </w:tc>
      </w:tr>
      <w:tr>
        <w:tc>
          <w:tcPr>
            <w:tcW w:type="dxa" w:w="1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공시 분류 자동화 에이전트</w:t>
            </w:r>
          </w:p>
        </w:tc>
        <w:tc>
          <w:tcPr>
            <w:tcW w:type="dxa" w:w="8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28</w:t>
            </w:r>
          </w:p>
        </w:tc>
        <w:tc>
          <w:tcPr>
            <w:tcW w:type="dxa" w:w="8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22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18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15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10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93</w:t>
            </w:r>
          </w:p>
        </w:tc>
        <w:tc>
          <w:tcPr>
            <w:tcW w:type="dxa" w:w="1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Excellence</w:t>
            </w:r>
          </w:p>
        </w:tc>
      </w:tr>
      <w:tr>
        <w:tc>
          <w:tcPr>
            <w:tcW w:type="dxa" w:w="1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보고서 초안 생성 에이전트</w:t>
            </w:r>
          </w:p>
        </w:tc>
        <w:tc>
          <w:tcPr>
            <w:tcW w:type="dxa" w:w="8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24</w:t>
            </w:r>
          </w:p>
        </w:tc>
        <w:tc>
          <w:tcPr>
            <w:tcW w:type="dxa" w:w="8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18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16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12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5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75</w:t>
            </w:r>
          </w:p>
        </w:tc>
        <w:tc>
          <w:tcPr>
            <w:tcW w:type="dxa" w:w="1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미달</w:t>
            </w:r>
          </w:p>
        </w:tc>
      </w:tr>
      <w:tr>
        <w:tc>
          <w:tcPr>
            <w:tcW w:type="dxa" w:w="1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DMS 문서 분류 에이전트</w:t>
            </w:r>
          </w:p>
        </w:tc>
        <w:tc>
          <w:tcPr>
            <w:tcW w:type="dxa" w:w="8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27</w:t>
            </w:r>
          </w:p>
        </w:tc>
        <w:tc>
          <w:tcPr>
            <w:tcW w:type="dxa" w:w="89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20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20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13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0</w:t>
            </w:r>
          </w:p>
        </w:tc>
        <w:tc>
          <w:tcPr>
            <w:tcW w:type="dxa" w:w="7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80</w:t>
            </w:r>
          </w:p>
        </w:tc>
        <w:tc>
          <w:tcPr>
            <w:tcW w:type="dxa" w:w="1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우수 에이전트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⑤ 사전 합의 없이 운영한 지표는 0점으로 처리한다. 운영 중 KPI를 소급 설정하는 것은 허용하지 않는다.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제14조(보상 등급 및 지원)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628"/>
        <w:gridCol w:w="1482"/>
        <w:gridCol w:w="4656"/>
      </w:tblGrid>
      <w:tr>
        <w:tc>
          <w:tcPr>
            <w:tcW w:type="dxa" w:w="26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등급</w:t>
            </w:r>
          </w:p>
        </w:tc>
        <w:tc>
          <w:tcPr>
            <w:tcW w:type="dxa" w:w="14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  <w:tc>
          <w:tcPr>
            <w:tcW w:type="dxa" w:w="46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보상 내용</w:t>
            </w:r>
          </w:p>
        </w:tc>
      </w:tr>
      <w:tr>
        <w:tc>
          <w:tcPr>
            <w:tcW w:type="dxa" w:w="26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우수 에이전트</w:t>
            </w:r>
          </w:p>
        </w:tc>
        <w:tc>
          <w:tcPr>
            <w:tcW w:type="dxa" w:w="14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2단계 80~89점</w:t>
            </w:r>
          </w:p>
        </w:tc>
        <w:tc>
          <w:tcPr>
            <w:tcW w:type="dxa" w:w="46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AX팀장 포상 추천, 다음 과제 우선 배정, 사내 채널 공유</w:t>
            </w:r>
          </w:p>
        </w:tc>
      </w:tr>
      <w:tr>
        <w:tc>
          <w:tcPr>
            <w:tcW w:type="dxa" w:w="26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탁월 에이전트 (AX Excellence)</w:t>
            </w:r>
          </w:p>
        </w:tc>
        <w:tc>
          <w:tcPr>
            <w:tcW w:type="dxa" w:w="14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2단계 90점 이상</w:t>
            </w:r>
          </w:p>
        </w:tc>
        <w:tc>
          <w:tcPr>
            <w:tcW w:type="dxa" w:w="46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AX/PI센터장 표창, 성과 인센티브 연계 (HR·경영기획 협의), 전사 사례 발표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선정된 에이전트를 개발한 AI CREW는 동일 등급의 혜택을 함께 받는다. CREW가 여러 명인 경우 과제 정의서 v1의 참여자 목록 기준으로 적용한다.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제15조(심사 운영)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심사 주기는 분기 1회(1·4·7·10월 말)로 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심사 대상은 운영(🟢 Active) 90일 이상 유지한 에이전트 전체다. 등록신청(🟡) 또는 일시중단(🔵) 상태는 심사 대상에서 제외하며, 복구 후 다음 분기에 자동 편입된다.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집계 방식은 다음과 같다.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자동 집계 트랙 (AX팀 인벤토리·감사로그): KPI 달성률, 지속 활용, 문서화 완성도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AX팀 수동 트랙: ROI 실현(부서장 서명 수집), 혁신성(AX팀 수동 평가)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심사 일정은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3184"/>
        <w:gridCol w:w="5582"/>
      </w:tblGrid>
      <w:tr>
        <w:tc>
          <w:tcPr>
            <w:tcW w:type="dxa" w:w="31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일정</w:t>
            </w:r>
          </w:p>
        </w:tc>
        <w:tc>
          <w:tcPr>
            <w:tcW w:type="dxa" w:w="55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31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분기 마지막달 1~10일</w:t>
            </w:r>
          </w:p>
        </w:tc>
        <w:tc>
          <w:tcPr>
            <w:tcW w:type="dxa" w:w="55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자동 집계 트랙 데이터 산출</w:t>
            </w:r>
          </w:p>
        </w:tc>
      </w:tr>
      <w:tr>
        <w:tc>
          <w:tcPr>
            <w:tcW w:type="dxa" w:w="31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분기 마지막달 11~15일</w:t>
            </w:r>
          </w:p>
        </w:tc>
        <w:tc>
          <w:tcPr>
            <w:tcW w:type="dxa" w:w="55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수동 트랙 완료 (부서장 서명 수집 포함)</w:t>
            </w:r>
          </w:p>
        </w:tc>
      </w:tr>
      <w:tr>
        <w:tc>
          <w:tcPr>
            <w:tcW w:type="dxa" w:w="31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분기 마지막달 16~20일</w:t>
            </w:r>
          </w:p>
        </w:tc>
        <w:tc>
          <w:tcPr>
            <w:tcW w:type="dxa" w:w="55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점수 취합·1단계 자격 검토·최종 등급 결정</w:t>
            </w:r>
          </w:p>
        </w:tc>
      </w:tr>
      <w:tr>
        <w:tc>
          <w:tcPr>
            <w:tcW w:type="dxa" w:w="318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분기 마지막달 21일 이후</w:t>
            </w:r>
          </w:p>
        </w:tc>
        <w:tc>
          <w:tcPr>
            <w:tcW w:type="dxa" w:w="55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결과 발표 및 보상 집행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⑤ 이의 신청은 결과 발표 후 5영업일 이내에 AX팀에 서면 제출할 수 있다. AX팀은 수령 후 5영업일 이내에 결과를 통보한다.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제16조(실패 리뷰 제도)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폐기(🔴 Retired)된 에이전트도 학습 공유 대상이다.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AX팀은 분기 1건 이상 실패 리뷰 노트를 작성하여 사내 공유한다.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실패 이유를 공유하는 것도 AI Native 문화의 일부다.</w:t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5A5A5A"/>
          <w:sz w:val="18"/>
          <w:szCs w:val="18"/>
        </w:rPr>
        <w:t xml:space="preserve">AX/PI센터 AX팀 | IT-AX-OPS-005 | v1.1 | 2026-07-06</w:t>
      </w:r>
    </w:p>
    <w:p>
      <w:r>
        <w:br w:type="page"/>
      </w:r>
    </w:p>
    <w:p>
      <w:pPr>
        <w:pBdr>
          <w:bottom w:val="single" w:color="AAAAAA" w:sz="6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문서 정보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400"/>
        <w:gridCol w:w="7366"/>
      </w:tblGrid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문서번호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IT-AX-OPS-005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버전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/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2026-07-06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소관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AX/PI센터 AX팀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적용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AX팀·AI CREW·현업 부서장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 w:space="3"/>
      </w:pBdr>
      <w:spacing w:before="60"/>
      <w:jc w:val="right"/>
    </w:pPr>
    <w:r>
      <w:rPr>
        <w:rFonts w:ascii="Batang" w:cs="Batang" w:eastAsia="Batang" w:hAnsi="Batang"/>
        <w:color w:val="1C1C1C"/>
        <w:sz w:val="18"/>
        <w:szCs w:val="18"/>
      </w:rPr>
      <w:t xml:space="preserve">AX/PI센터 AX팀  |  2026-07-06  | 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Batang" w:cs="Batang" w:eastAsia="Batang" w:hAnsi="Batang"/>
        <w:color w:val="1C1C1C"/>
        <w:sz w:val="18"/>
        <w:szCs w:val="18"/>
      </w:rPr>
      <w:t xml:space="preserve"> /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3"/>
      </w:pBdr>
      <w:tabs>
        <w:tab w:val="right" w:pos="8766"/>
      </w:tabs>
      <w:spacing w:after="60"/>
    </w:pPr>
    <w:r>
      <w:rPr>
        <w:rFonts w:ascii="Batang" w:cs="Batang" w:eastAsia="Batang" w:hAnsi="Batang"/>
        <w:b/>
        <w:bCs/>
        <w:color w:val="1C1C1C"/>
        <w:sz w:val="18"/>
        <w:szCs w:val="18"/>
      </w:rPr>
      <w:t xml:space="preserve">삼성자산운용 주식회사  </w:t>
    </w:r>
    <w:r>
      <w:rPr>
        <w:rFonts w:ascii="Batang" w:cs="Batang" w:eastAsia="Batang" w:hAnsi="Batang"/>
        <w:color w:val="1C1C1C"/>
        <w:sz w:val="18"/>
        <w:szCs w:val="18"/>
      </w:rPr>
      <w:t xml:space="preserve">AI 조직 역할 및 성과관리 지침</w:t>
    </w:r>
    <w:r>
      <w:rPr>
        <w:rFonts w:ascii="Batang" w:cs="Batang" w:eastAsia="Batang" w:hAnsi="Batang"/>
        <w:color w:val="1C1C1C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color w:val="1C1C1C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80" w:line="312" w:lineRule="auto"/>
      <w:outlineLvl w:val="1"/>
    </w:pPr>
    <w:rPr>
      <w:rFonts w:ascii="Batang" w:cs="Batang" w:eastAsia="Batang" w:hAnsi="Batang"/>
      <w:b/>
      <w:bCs/>
      <w:color w:val="1C1C1C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 w:line="312" w:lineRule="auto"/>
      <w:outlineLvl w:val="2"/>
    </w:pPr>
    <w:rPr>
      <w:rFonts w:ascii="Batang" w:cs="Batang" w:eastAsia="Batang" w:hAnsi="Batang"/>
      <w:b/>
      <w:bCs/>
      <w:color w:val="1C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2026-07-06T10:43:19.782Z</dcterms:created>
  <dcterms:modified xsi:type="dcterms:W3CDTF">2026-07-06T10:43:19.782Z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