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  <w:r>
        <w:t xml:space="preserve"/>
      </w:r>
    </w:p>
    <w:p>
      <w:pPr>
        <w:spacing w:after="4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24"/>
          <w:szCs w:val="24"/>
        </w:rPr>
        <w:t xml:space="preserve">삼성자산운용 주식회사</w:t>
      </w:r>
    </w:p>
    <w:p>
      <w:pPr>
        <w:spacing w:after="160" w:before="0" w:line="312" w:lineRule="auto"/>
        <w:ind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0"/>
          <w:szCs w:val="20"/>
        </w:rPr>
        <w:t xml:space="preserve">AX/PI센터 AX팀</w:t>
      </w:r>
    </w:p>
    <w:p>
      <w:pPr>
        <w:pBdr>
          <w:bottom w:val="single" w:color="AAAAAA" w:sz="8"/>
        </w:pBdr>
        <w:spacing w:after="240"/>
      </w:pPr>
      <w:r>
        <w:t xml:space="preserve"/>
      </w:r>
    </w:p>
    <w:p>
      <w:pP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64"/>
          <w:szCs w:val="64"/>
        </w:rPr>
        <w:t xml:space="preserve">AI 거버넌스 문서 구조도</w:t>
      </w:r>
    </w:p>
    <w:p>
      <w:pPr>
        <w:spacing w:after="3200"/>
      </w:pPr>
      <w:r>
        <w:t xml:space="preserve"/>
      </w:r>
    </w:p>
    <w:tbl>
      <w:tblPr>
        <w:tblW w:type="dxa" w:w="4400"/>
        <w:jc w:val="right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300"/>
        <w:gridCol w:w="3100"/>
      </w:tblGrid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참고 자료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버전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최종 수정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2026-07-06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전 이해관계자 참고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소관 부서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AX/PI센터 AX팀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 w:before="0" w:line="312" w:lineRule="auto"/>
        <w:ind w:right="0"/>
        <w:jc w:val="right"/>
      </w:pPr>
      <w:r>
        <w:rPr>
          <w:rFonts w:ascii="Batang" w:cs="Batang" w:eastAsia="Batang" w:hAnsi="Batang"/>
          <w:b w:val="false"/>
          <w:bCs w:val="false"/>
          <w:color w:val="1C1C1C"/>
          <w:sz w:val="18"/>
          <w:szCs w:val="18"/>
        </w:rPr>
        <w:t xml:space="preserve">내부용 (Internal Use Only)</w:t>
      </w:r>
    </w:p>
    <w:p>
      <w:r>
        <w:br w:type="pag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1. 문서 계층 및 독자</w:t>
      </w:r>
    </w:p>
    <w:p>
      <w:pPr>
        <w:spacing w:after="140" w:before="120"/>
        <w:jc w:val="center"/>
      </w:pPr>
      <w:r>
        <w:drawing>
          <wp:inline distT="0" distB="0" distL="0" distR="0">
            <wp:extent cx="54292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5개 문서는 계층적으로 연결됩니다. WHY/WHAT → HOW → 실무 적용 순으로 참조합니다.</w:t>
      </w:r>
    </w:p>
    <w:tbl>
      <w:tblPr>
        <w:tblW w:type="dxa" w:w="8766"/>
        <w:tblBorders>
          <w:top w:val="single" w:color="2E6DB4" w:sz="2"/>
          <w:left w:val="single" w:color="2E6DB4" w:sz="2"/>
          <w:bottom w:val="single" w:color="2E6DB4" w:sz="2"/>
          <w:right w:val="single" w:color="2E6DB4" w:sz="2"/>
          <w:insideH w:val="single" w:color="auto" w:sz="4"/>
          <w:insideV w:val="single" w:color="auto" w:sz="4"/>
        </w:tblBorders>
      </w:tblPr>
      <w:tblGrid>
        <w:gridCol w:w="2600"/>
        <w:gridCol w:w="4966"/>
        <w:gridCol w:w="2000"/>
      </w:tblGrid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문서명 / 버전</w:t>
            </w:r>
          </w:p>
        </w:tc>
        <w:tc>
          <w:tcPr>
            <w:tcW w:type="dxa" w:w="49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주요 독자</w:t>
            </w:r>
          </w:p>
        </w:tc>
      </w:tr>
    </w:tbl>
    <w:p>
      <w:pPr>
        <w:spacing w:after="4"/>
      </w:pPr>
      <w:r>
        <w:t xml:space="preserve"/>
      </w:r>
    </w:p>
    <w:tbl>
      <w:tblPr>
        <w:tblW w:type="dxa" w:w="87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shd w:fill="EA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▲ 의사결정 레이어</w:t>
            </w:r>
          </w:p>
        </w:tc>
      </w:tr>
    </w:tbl>
    <w:p>
      <w:pPr>
        <w:spacing w:after="4"/>
      </w:pPr>
      <w:r>
        <w:t xml:space="preserve"/>
      </w:r>
    </w:p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2600"/>
        <w:gridCol w:w="4966"/>
        <w:gridCol w:w="2000"/>
      </w:tblGrid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2"/>
                <w:szCs w:val="22"/>
              </w:rPr>
              <w:t xml:space="preserve">운영방안_AX위원회.md</w:t>
            </w:r>
          </w:p>
          <w:p>
            <w:r>
              <w:rPr>
                <w:rFonts w:ascii="Batang" w:cs="Batang" w:eastAsia="Batang" w:hAnsi="Batang"/>
                <w:color w:val="1C1C1C"/>
                <w:sz w:val="19"/>
                <w:szCs w:val="19"/>
              </w:rPr>
              <w:t xml:space="preserve">v2.1</w:t>
            </w:r>
          </w:p>
        </w:tc>
        <w:tc>
          <w:tcPr>
            <w:tcW w:type="dxa" w:w="49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규정 개정 심의·의결 / 고위험 AI 최종 승인 / 반기 운영 현황 보고 수령 / 거버넌스 정책 방향 결정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Batang" w:cs="Batang" w:eastAsia="Batang" w:hAnsi="Batang"/>
                <w:color w:val="5A5A5A"/>
                <w:sz w:val="19"/>
                <w:szCs w:val="19"/>
              </w:rPr>
              <w:t xml:space="preserve">경영진·임원</w:t>
            </w:r>
          </w:p>
        </w:tc>
      </w:tr>
    </w:tbl>
    <w:tbl>
      <w:tblPr>
        <w:tblW w:type="dxa" w:w="87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shd w:fill="EA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▼ 거버넌스 문서 레이어</w:t>
            </w:r>
          </w:p>
        </w:tc>
      </w:tr>
    </w:tbl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2600"/>
        <w:gridCol w:w="4966"/>
        <w:gridCol w:w="2000"/>
      </w:tblGrid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3C6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FFFFFF"/>
                <w:sz w:val="22"/>
                <w:szCs w:val="22"/>
              </w:rPr>
              <w:t xml:space="preserve">규정_AI_거버넌스.md</w:t>
            </w:r>
          </w:p>
          <w:p>
            <w:r>
              <w:rPr>
                <w:rFonts w:ascii="Batang" w:cs="Batang" w:eastAsia="Batang" w:hAnsi="Batang"/>
                <w:color w:val="DDDDDD"/>
                <w:sz w:val="19"/>
                <w:szCs w:val="19"/>
              </w:rPr>
              <w:t xml:space="preserve">v6.3  [IT-AX-REG-001]</w:t>
            </w:r>
          </w:p>
        </w:tc>
        <w:tc>
          <w:tcPr>
            <w:tcW w:type="dxa" w:w="49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5C9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Batang" w:cs="Batang" w:eastAsia="Batang" w:hAnsi="Batang"/>
                <w:color w:val="FFFFFF"/>
                <w:sz w:val="20"/>
                <w:szCs w:val="20"/>
              </w:rPr>
              <w:t xml:space="preserve">WHY &amp; WHAT — AI Native 원칙 · 절대 금지사항 · 위험 분류 · 에이전트 유형 · 데이터 기밀등급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3C6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Batang" w:cs="Batang" w:eastAsia="Batang" w:hAnsi="Batang"/>
                <w:color w:val="FFFFFF"/>
                <w:sz w:val="19"/>
                <w:szCs w:val="19"/>
              </w:rPr>
              <w:t xml:space="preserve">전 임직원</w:t>
            </w:r>
          </w:p>
        </w:tc>
      </w:tr>
    </w:tbl>
    <w:tbl>
      <w:tblPr>
        <w:tblW w:type="dxa" w:w="87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shd w:fill="EA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↓ 참조</w:t>
            </w:r>
          </w:p>
        </w:tc>
      </w:tr>
    </w:tbl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2600"/>
        <w:gridCol w:w="4966"/>
        <w:gridCol w:w="2000"/>
      </w:tblGrid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2"/>
                <w:szCs w:val="22"/>
              </w:rPr>
              <w:t xml:space="preserve">지침_AI_거버넌스.md</w:t>
            </w:r>
          </w:p>
          <w:p>
            <w:r>
              <w:rPr>
                <w:rFonts w:ascii="Batang" w:cs="Batang" w:eastAsia="Batang" w:hAnsi="Batang"/>
                <w:color w:val="1C1C1C"/>
                <w:sz w:val="19"/>
                <w:szCs w:val="19"/>
              </w:rPr>
              <w:t xml:space="preserve">v7.7  [IT-AX-OPS-002]</w:t>
            </w:r>
          </w:p>
        </w:tc>
        <w:tc>
          <w:tcPr>
            <w:tcW w:type="dxa" w:w="49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HOW — Phase 0~6 과제 게이트 · Agent 라이프사이클 · R&amp;R 매트릭스 · 비용·토큰 관리 · CREW 이관 기준 · 우수 에이전트 보상 · 암묵지 성숙도 평가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Batang" w:cs="Batang" w:eastAsia="Batang" w:hAnsi="Batang"/>
                <w:color w:val="5A5A5A"/>
                <w:sz w:val="19"/>
                <w:szCs w:val="19"/>
              </w:rPr>
              <w:t xml:space="preserve">AX팀 · AI CREW · 부서장</w:t>
            </w:r>
          </w:p>
        </w:tc>
      </w:tr>
    </w:tbl>
    <w:tbl>
      <w:tblPr>
        <w:tblW w:type="dxa" w:w="87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shd w:fill="EA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↓ 참조</w:t>
            </w:r>
          </w:p>
        </w:tc>
      </w:tr>
    </w:tbl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2600"/>
        <w:gridCol w:w="4966"/>
        <w:gridCol w:w="2000"/>
      </w:tblGrid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2"/>
                <w:szCs w:val="22"/>
              </w:rPr>
              <w:t xml:space="preserve">가이드라인_AI_거버넌스.md</w:t>
            </w:r>
          </w:p>
          <w:p>
            <w:r>
              <w:rPr>
                <w:rFonts w:ascii="Batang" w:cs="Batang" w:eastAsia="Batang" w:hAnsi="Batang"/>
                <w:color w:val="1C1C1C"/>
                <w:sz w:val="19"/>
                <w:szCs w:val="19"/>
              </w:rPr>
              <w:t xml:space="preserve">v5.1  [IT-AX-GUIDE-003]</w:t>
            </w:r>
          </w:p>
        </w:tc>
        <w:tc>
          <w:tcPr>
            <w:tcW w:type="dxa" w:w="49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실무 적용 — 솔루션 유형 선택 · Kill Switch 구현 · 감사 로그 패턴 · 개발 환경 · 보안 체크리스트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Batang" w:cs="Batang" w:eastAsia="Batang" w:hAnsi="Batang"/>
                <w:color w:val="5A5A5A"/>
                <w:sz w:val="19"/>
                <w:szCs w:val="19"/>
              </w:rPr>
              <w:t xml:space="preserve">AI CREW · 개발 참여자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2. 핵심 플로우 — 과제 → 에이전트 → 보상</w:t>
      </w:r>
    </w:p>
    <w:p>
      <w:pPr>
        <w:spacing w:after="140" w:before="120"/>
        <w:jc w:val="center"/>
      </w:pPr>
      <w:r>
        <w:drawing>
          <wp:inline distT="0" distB="0" distL="0" distR="0">
            <wp:extent cx="5905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1666"/>
        <w:gridCol w:w="1700"/>
      </w:tblGrid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[object Object]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[object Object]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3. Agent ID · 라이프사이클 매핑</w:t>
      </w:r>
    </w:p>
    <w:p>
      <w:pPr>
        <w:spacing w:after="140" w:before="120"/>
        <w:jc w:val="center"/>
      </w:pPr>
      <w:r>
        <w:drawing>
          <wp:inline distT="0" distB="0" distL="0" distR="0">
            <wp:extent cx="51435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3-1. Agent ID 발급 체계</w:t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400"/>
        <w:gridCol w:w="2600"/>
        <w:gridCol w:w="1400"/>
        <w:gridCol w:w="2366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상황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ID 유형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발급 주체</w:t>
            </w:r>
          </w:p>
        </w:tc>
        <w:tc>
          <w:tcPr>
            <w:tcW w:type="dxa" w:w="2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데이터 접근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 개인 실험 (Phase 0~2)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2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G1만 (샌드박스 권장)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 팀 공유 PoC (Phase 3~4)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인식·등록만</w:t>
            </w:r>
          </w:p>
        </w:tc>
        <w:tc>
          <w:tcPr>
            <w:tcW w:type="dxa" w:w="2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G1, 샘플 데이터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5 파일럿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AX-DEV-YYYY-XXX (임시)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</w:t>
            </w:r>
          </w:p>
        </w:tc>
        <w:tc>
          <w:tcPr>
            <w:tcW w:type="dxa" w:w="2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G1/G2, 제한 실데이터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6 운영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AX-YYYY-AGT-XXX (정식)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</w:t>
            </w:r>
          </w:p>
        </w:tc>
        <w:tc>
          <w:tcPr>
            <w:tcW w:type="dxa" w:w="2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설계 기준 전체 접근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멀티 에이전트 서브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AX-YYYY-MAS-XXX-SUB-A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</w:t>
            </w:r>
          </w:p>
        </w:tc>
        <w:tc>
          <w:tcPr>
            <w:tcW w:type="dxa" w:w="2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오케스트레이터 범위 이하</w:t>
            </w:r>
          </w:p>
        </w:tc>
      </w:tr>
    </w:tbl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3-2. 생성 라이프사이클 (Phase Gate 0→6)</w:t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600"/>
        <w:gridCol w:w="900"/>
        <w:gridCol w:w="2200"/>
        <w:gridCol w:w="1400"/>
        <w:gridCol w:w="3666"/>
      </w:tblGrid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명칭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ID 상태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에이전트 상태</w:t>
            </w:r>
          </w:p>
        </w:tc>
        <w:tc>
          <w:tcPr>
            <w:tcW w:type="dxa" w:w="3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AX팀 역할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발굴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3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존재 인식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기획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3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등록·스코어카드 평가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설계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3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기술 검토·설계 지원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MVP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개발 중</w:t>
            </w:r>
          </w:p>
        </w:tc>
        <w:tc>
          <w:tcPr>
            <w:tcW w:type="dxa" w:w="3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엔지니어 주도 개발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심사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심사 중</w:t>
            </w:r>
          </w:p>
        </w:tc>
        <w:tc>
          <w:tcPr>
            <w:tcW w:type="dxa" w:w="3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심사 보고서 작성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파일럿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AX-DEV- (임시)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🟡 등록신청</w:t>
            </w:r>
          </w:p>
        </w:tc>
        <w:tc>
          <w:tcPr>
            <w:tcW w:type="dxa" w:w="3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임시 ID 발급·파일럿 운영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AX-YYYY-AGT- (정식)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🟢 Active</w:t>
            </w:r>
          </w:p>
        </w:tc>
        <w:tc>
          <w:tcPr>
            <w:tcW w:type="dxa" w:w="36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정식 ID 발급·KPI 모니터링</w:t>
            </w:r>
          </w:p>
        </w:tc>
      </w:tr>
    </w:tbl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3-3. 관리 라이프사이클 (상태 머신)</w:t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800"/>
        <w:gridCol w:w="1900"/>
        <w:gridCol w:w="2300"/>
        <w:gridCol w:w="2766"/>
      </w:tblGrid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상태 전환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조건</w:t>
            </w:r>
          </w:p>
        </w:tc>
        <w:tc>
          <w:tcPr>
            <w:tcW w:type="dxa" w:w="2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AX팀 역할</w:t>
            </w:r>
          </w:p>
        </w:tc>
        <w:tc>
          <w:tcPr>
            <w:tcW w:type="dxa" w:w="2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데이터플랫폼팀 역할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→ 🟡 등록신청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5 파일럿 진입 승인</w:t>
            </w:r>
          </w:p>
        </w:tc>
        <w:tc>
          <w:tcPr>
            <w:tcW w:type="dxa" w:w="2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임시 ID 발급, 인벤토리 신규 등록</w:t>
            </w:r>
          </w:p>
        </w:tc>
        <w:tc>
          <w:tcPr>
            <w:tcW w:type="dxa" w:w="2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제한 실데이터 접근 권한 부여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🟡 → 🟢 Active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6 운영 승격</w:t>
            </w:r>
          </w:p>
        </w:tc>
        <w:tc>
          <w:tcPr>
            <w:tcW w:type="dxa" w:w="2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정식 ID 교체, KPI 모니터링 활성화</w:t>
            </w:r>
          </w:p>
        </w:tc>
        <w:tc>
          <w:tcPr>
            <w:tcW w:type="dxa" w:w="2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전체 접근권한 갱신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🟢 → 🔵 Suspended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사고·점검·업무 변화</w:t>
            </w:r>
          </w:p>
        </w:tc>
        <w:tc>
          <w:tcPr>
            <w:tcW w:type="dxa" w:w="2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원인 분석, 접근권한 일시 차단</w:t>
            </w:r>
          </w:p>
        </w:tc>
        <w:tc>
          <w:tcPr>
            <w:tcW w:type="dxa" w:w="2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데이터 접근 일시 차단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🔵 → 🟢 Active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원인 해소 후 복구 승인</w:t>
            </w:r>
          </w:p>
        </w:tc>
        <w:tc>
          <w:tcPr>
            <w:tcW w:type="dxa" w:w="2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복구 검토, 재활성화</w:t>
            </w:r>
          </w:p>
        </w:tc>
        <w:tc>
          <w:tcPr>
            <w:tcW w:type="dxa" w:w="2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접근권한 복구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* → 🔴 Retired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폐기 기준 충족</w:t>
            </w:r>
          </w:p>
        </w:tc>
        <w:tc>
          <w:tcPr>
            <w:tcW w:type="dxa" w:w="2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ID 비활성화, 인벤토리 폐기 등록</w:t>
            </w:r>
          </w:p>
        </w:tc>
        <w:tc>
          <w:tcPr>
            <w:tcW w:type="dxa" w:w="2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접근권한 전체 회수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4. 암묵지 데이터화 성숙도 평가 (3차원)</w:t>
      </w:r>
    </w:p>
    <w:p>
      <w:pPr>
        <w:spacing w:after="80" w:before="8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AI Native 조직의 핵심 지표: 쓴 만큼 조직 지식이 축적됐는가.</w:t>
      </w:r>
    </w:p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FFFFFF"/>
                <w:sz w:val="20"/>
                <w:szCs w:val="20"/>
              </w:rPr>
              <w:t xml:space="preserve">차원 1 — 지식 포착</w:t>
            </w:r>
          </w:p>
        </w:tc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FFFFFF"/>
                <w:sz w:val="20"/>
                <w:szCs w:val="20"/>
              </w:rPr>
              <w:t xml:space="preserve">차원 2 — 활용·재사용</w:t>
            </w:r>
          </w:p>
        </w:tc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FFFFFF"/>
                <w:sz w:val="20"/>
                <w:szCs w:val="20"/>
              </w:rPr>
              <w:t xml:space="preserve">차원 3 — 조직 역량</w:t>
            </w:r>
          </w:p>
        </w:tc>
      </w:tr>
      <w:tr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분기 / 정량</w:t>
            </w:r>
          </w:p>
        </w:tc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반기 / 정량</w:t>
            </w:r>
          </w:p>
        </w:tc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반기 / 정성</w:t>
            </w:r>
          </w:p>
        </w:tc>
      </w:tr>
      <w:tr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· 과제 정의서 완료율 ≥ 80%</w:t>
            </w:r>
          </w:p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0"/>
                <w:szCs w:val="20"/>
              </w:rPr>
              <w:t xml:space="preserve">· 프롬프트 문서화율 100%</w:t>
            </w:r>
          </w:p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0"/>
                <w:szCs w:val="20"/>
              </w:rPr>
              <w:t xml:space="preserve">· 감사로그 충족율 ≥ 90%</w:t>
            </w:r>
          </w:p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0"/>
                <w:szCs w:val="20"/>
              </w:rPr>
              <w:t xml:space="preserve">· 실패 리뷰 분기 1건 이상</w:t>
            </w:r>
          </w:p>
        </w:tc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· Prompt Caching 적용률 ≥ 50%</w:t>
            </w:r>
          </w:p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0"/>
                <w:szCs w:val="20"/>
              </w:rPr>
              <w:t xml:space="preserve">· 이관 후 재작업률 ≤ 30%</w:t>
            </w:r>
          </w:p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0"/>
                <w:szCs w:val="20"/>
              </w:rPr>
              <w:t xml:space="preserve">· 과거 사례 참조 반기 3건 이상</w:t>
            </w:r>
          </w:p>
        </w:tc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· 신규 CREW 온보딩 기간 단축</w:t>
            </w:r>
          </w:p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0"/>
                <w:szCs w:val="20"/>
              </w:rPr>
              <w:t xml:space="preserve">· 핵심인력 이탈 후 업무 연속성</w:t>
            </w:r>
          </w:p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0"/>
                <w:szCs w:val="20"/>
              </w:rPr>
              <w:t xml:space="preserve">· 에이전트 자립도 심사</w:t>
            </w:r>
          </w:p>
        </w:tc>
      </w:tr>
      <w:tr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미달 시: AX팀 보완 요청</w:t>
            </w:r>
          </w:p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0"/>
                <w:szCs w:val="20"/>
              </w:rPr>
              <w:t xml:space="preserve">과제 정의서 미작성 → 다음 Phase 진행 불가</w:t>
            </w:r>
          </w:p>
        </w:tc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미달 시: 재작업률 30% 초과</w:t>
            </w:r>
          </w:p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0"/>
                <w:szCs w:val="20"/>
              </w:rPr>
              <w:t xml:space="preserve">→ CREW 이관 완성도 기준 재교육</w:t>
            </w:r>
          </w:p>
        </w:tc>
        <w:tc>
          <w:tcPr>
            <w:tcW w:type="dxa" w:w="2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미달 시: Context 외재화 작업</w:t>
            </w:r>
          </w:p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0"/>
                <w:szCs w:val="20"/>
              </w:rPr>
              <w:t xml:space="preserve">→ 다음 분기 필수 과제 등록</w:t>
            </w:r>
          </w:p>
        </w:tc>
      </w:tr>
    </w:tbl>
    <w:p>
      <w:pPr>
        <w:shd w:fill="EAF2FF" w:val="clear"/>
        <w:spacing w:after="60" w:before="100" w:line="312" w:lineRule="auto"/>
        <w:ind w:left="198" w:right="0" w:hanging="198"/>
        <w:jc w:val="left"/>
      </w:pPr>
      <w:r>
        <w:rPr>
          <w:rFonts w:ascii="Batang" w:cs="Batang" w:eastAsia="Batang" w:hAnsi="Batang"/>
          <w:b/>
          <w:bCs/>
          <w:color w:val="1C1C1C"/>
          <w:sz w:val="20"/>
          <w:szCs w:val="20"/>
        </w:rPr>
        <w:t xml:space="preserve">목표 2개 미달 부서 → 다음 반기 과제 등록 상한 1건으로 제한  |  반기 AX 위원회 보고</w:t>
      </w:r>
    </w:p>
    <w:p>
      <w:pPr>
        <w:spacing w:after="180"/>
      </w:pPr>
      <w:r>
        <w:t xml:space="preserv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5. 문서 간 조항 연결 매핑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규정 → 지침</w:t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200"/>
        <w:gridCol w:w="2500"/>
        <w:gridCol w:w="4066"/>
      </w:tblGrid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규정 조항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지침 참조 위치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연결 내용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제3조 AI Native 원칙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제8장 암묵지 3차원 평가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"토큰 소비 ≠ AI 투자" 원칙 → 측정 지표 구체화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제4조 솔루션 유형 0~4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제2장 Phase Gate, 제6장 위험통제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유형별 적용 Phase·통제 요건 결정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제5조 데이터 기밀등급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제8장 API키 관리, 제11장 배포 환경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 셀프발급 허용 / G3 온프레미스 전용 기준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제6조 위험 업무 분류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제6장 위험등급별 통제 요건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위험등급 결정 → 통제 요건 적용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제7조 에이전트 원칙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제7장 라이프사이클, 제10장 제22조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Kill Switch / 감사 추적 / 최소 권한 구현 의무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제9조 AX 위원회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제3장 상정 절차, 제13장 R&amp;R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과제 상정 → 위원회 운영방안 연계</w:t>
            </w:r>
          </w:p>
        </w:tc>
      </w:tr>
    </w:tbl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지침 → 가이드라인</w:t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200"/>
        <w:gridCol w:w="2500"/>
        <w:gridCol w:w="4066"/>
      </w:tblGrid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지침 조항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가이드라인 참조 위치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연결 내용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제6장 감사 로그 필드 정의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감사 로그 구현 패턴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필드 스키마(7개) → 코드 구현 예시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제7장 Kill Switch 구현 의무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Kill Switch 구현 예시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Circuit Breaker 패턴 → 실무 코드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제10장 제21조 (기획자 역할)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기획자 실무 가이드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작성 지원 → 체크리스트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제10장 제22조 (엔지니어 기준)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엔지니어 실무 가이드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개발 기준 7항목 → 보안 체크리스트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제11장 배포 환경 결정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배포 환경 선택 체크리스트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결정 트리(GPT/AWS/온프레미스) → 체크리스트</w:t>
            </w:r>
          </w:p>
        </w:tc>
      </w:tr>
    </w:tbl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지침 → 운영방안_AX위원회</w:t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200"/>
        <w:gridCol w:w="2500"/>
        <w:gridCol w:w="4066"/>
      </w:tblGrid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지침 조항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운영방안 참조 위치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연결 내용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제3장 AX 위원회 상정 절차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제3조 임무 ②, 제4조 회의 운영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과제 → 임시/정기 회의 안건 상정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제6장 운영 승격 기준 (고위험)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제3조 임무 ② 대상 목록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투자·운용·공시·컴플 → 위원회 의결 필수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제8장 암묵지 3차원 평가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제3조 임무 ③ 반기 보고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차원 1·2 집계 + 차원 3 정성 결과 보고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제13장 에스컬레이션 기준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제4조 임시회의 소집 조건</w:t>
            </w:r>
          </w:p>
        </w:tc>
        <w:tc>
          <w:tcPr>
            <w:tcW w:type="dxa" w:w="40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G3 포함 / 보안 사고 → 임시회의 트리거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6. 핵심 개념 정의 위치 인덱스</w:t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400"/>
        <w:gridCol w:w="1900"/>
        <w:gridCol w:w="2700"/>
        <w:gridCol w:w="1766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개념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정의 위치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상세 기준 위치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실무 구현 위치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Native 원칙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제3조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제8장 암묵지 평가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솔루션 유형 0~4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제4조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제2장·제6장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가이드라인 유형 선택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데이터 기밀등급 G1/G2/G3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제5조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제8장(API키), 제11장(배포)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가이드라인 보안 체크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위험등급 고/중/저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제6조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제6장 통제 요건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가이드라인 위험 결정 트리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위원회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제9조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운영방안_AX위원회.md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제3장 상정 절차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Gate 0~6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제2장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제3·6·10장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가이드라인 플로우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Agent ID 체계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제7-2장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제7-3/7-4장 라이프사이클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가이드라인 예시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CREW 등급 Lv.1/2/3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제1장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제10장·제8장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가이드라인 등급별 가이드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CREW 이관 완성도 5항목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제19조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가이드라인 체크리스트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암묵지 3차원 평가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제8장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운영방안 반기 보고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우수 에이전트 보상 5기준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제14장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Kill Switch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제7조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제7-1/7-4장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가이드라인 구현 예시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감사 로그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제7조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제6장 필드 정의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가이드라인 구현 패턴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스코어카드 6차원 (100점)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 제5장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1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7. 문서 버전 현황</w:t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800"/>
        <w:gridCol w:w="1700"/>
        <w:gridCol w:w="800"/>
        <w:gridCol w:w="3466"/>
      </w:tblGrid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문서번호</w:t>
            </w:r>
          </w:p>
        </w:tc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버전</w:t>
            </w:r>
          </w:p>
        </w:tc>
        <w:tc>
          <w:tcPr>
            <w:tcW w:type="dxa" w:w="34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핵심 최근 변경 (2026-07-06)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규정_AI_거버넌스.md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IT-AX-REG-001</w:t>
            </w:r>
          </w:p>
        </w:tc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v6.3</w:t>
            </w:r>
          </w:p>
        </w:tc>
        <w:tc>
          <w:tcPr>
            <w:tcW w:type="dxa" w:w="34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Native 원칙 신설, AX 위원회 명칭 변경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지침_AI_거버넌스.md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IT-AX-OPS-002</w:t>
            </w:r>
          </w:p>
        </w:tc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v7.7</w:t>
            </w:r>
          </w:p>
        </w:tc>
        <w:tc>
          <w:tcPr>
            <w:tcW w:type="dxa" w:w="34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완성도 5기준 · 암묵지 평가 3차원 · 제13·14장 신설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가이드라인_AI_거버넌스.md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IT-AX-GUIDE-003</w:t>
            </w:r>
          </w:p>
        </w:tc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v5.1</w:t>
            </w:r>
          </w:p>
        </w:tc>
        <w:tc>
          <w:tcPr>
            <w:tcW w:type="dxa" w:w="34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위원회 명칭 반영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운영방안_AX위원회.md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IT-AX-GOV-001</w:t>
            </w:r>
          </w:p>
        </w:tc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v2.1</w:t>
            </w:r>
          </w:p>
        </w:tc>
        <w:tc>
          <w:tcPr>
            <w:tcW w:type="dxa" w:w="34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AI→AX 위원회 명칭 변경, 위원장 외 구성원 미설정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AI_거버넌스_문서_구조도.md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(참고)</w:t>
            </w:r>
          </w:p>
        </w:tc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v1.1</w:t>
            </w:r>
          </w:p>
        </w:tc>
        <w:tc>
          <w:tcPr>
            <w:tcW w:type="dxa" w:w="34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문서 간 조항 연결 매핑, 핵심 개념 인덱스 신설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 w:space="3"/>
      </w:pBdr>
      <w:spacing w:before="60"/>
      <w:jc w:val="right"/>
    </w:pPr>
    <w:r>
      <w:rPr>
        <w:rFonts w:ascii="Batang" w:cs="Batang" w:eastAsia="Batang" w:hAnsi="Batang"/>
        <w:color w:val="1C1C1C"/>
        <w:sz w:val="18"/>
        <w:szCs w:val="18"/>
      </w:rPr>
      <w:t xml:space="preserve">AX/PI센터 AX팀  |  2026-07-06  | 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Batang" w:cs="Batang" w:eastAsia="Batang" w:hAnsi="Batang"/>
        <w:color w:val="1C1C1C"/>
        <w:sz w:val="18"/>
        <w:szCs w:val="18"/>
      </w:rPr>
      <w:t xml:space="preserve"> /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3"/>
      </w:pBdr>
      <w:tabs>
        <w:tab w:val="right" w:pos="8766"/>
      </w:tabs>
      <w:spacing w:after="60"/>
    </w:pPr>
    <w:r>
      <w:rPr>
        <w:rFonts w:ascii="Batang" w:cs="Batang" w:eastAsia="Batang" w:hAnsi="Batang"/>
        <w:b/>
        <w:bCs/>
        <w:color w:val="1C1C1C"/>
        <w:sz w:val="18"/>
        <w:szCs w:val="18"/>
      </w:rPr>
      <w:t xml:space="preserve">삼성자산운용 주식회사  </w:t>
    </w:r>
    <w:r>
      <w:rPr>
        <w:rFonts w:ascii="Batang" w:cs="Batang" w:eastAsia="Batang" w:hAnsi="Batang"/>
        <w:color w:val="1C1C1C"/>
        <w:sz w:val="18"/>
        <w:szCs w:val="18"/>
      </w:rPr>
      <w:t xml:space="preserve">AI 거버넌스 문서 구조도</w:t>
    </w:r>
    <w:r>
      <w:rPr>
        <w:rFonts w:ascii="Batang" w:cs="Batang" w:eastAsia="Batang" w:hAnsi="Batang"/>
        <w:color w:val="1C1C1C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color w:val="1C1C1C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80" w:line="312" w:lineRule="auto"/>
      <w:outlineLvl w:val="1"/>
    </w:pPr>
    <w:rPr>
      <w:rFonts w:ascii="Batang" w:cs="Batang" w:eastAsia="Batang" w:hAnsi="Batang"/>
      <w:b/>
      <w:bCs/>
      <w:color w:val="1C1C1C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 w:line="312" w:lineRule="auto"/>
      <w:outlineLvl w:val="2"/>
    </w:pPr>
    <w:rPr>
      <w:rFonts w:ascii="Batang" w:cs="Batang" w:eastAsia="Batang" w:hAnsi="Batang"/>
      <w:b/>
      <w:bCs/>
      <w:color w:val="1C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fcb21543bbb970112ea83b661a1cf8bab53303.undefined"/><Relationship Id="rId10" Type="http://schemas.openxmlformats.org/officeDocument/2006/relationships/image" Target="media/7bb7f64b53fd41f3585e98a0467c1d9eef619164.undefined"/><Relationship Id="rId11" Type="http://schemas.openxmlformats.org/officeDocument/2006/relationships/image" Target="media/e82f1e1591be0f00a641de51de80df4f506c8bfe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2026-07-06T10:43:19.861Z</dcterms:created>
  <dcterms:modified xsi:type="dcterms:W3CDTF">2026-07-06T10:43:19.861Z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