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95959"/>
          <w:sz w:val="26"/>
          <w:szCs w:val="26"/>
        </w:rPr>
        <w:t xml:space="preserve">삼성자산운용 주식회사</w:t>
      </w:r>
    </w:p>
    <w:p>
      <w:pPr>
        <w:spacing w:after="24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AX/PI센터 AX팀</w:t>
      </w:r>
    </w:p>
    <w:p>
      <w:pPr>
        <w:pBdr>
          <w:bottom w:val="single" w:color="1A3C6E" w:sz="12" w:space="1"/>
        </w:pBdr>
        <w:spacing w:after="280"/>
      </w:pPr>
      <w: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1A3C6E"/>
          <w:sz w:val="60"/>
          <w:szCs w:val="60"/>
        </w:rPr>
        <w:t xml:space="preserve">AI 거버넌스 규정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600"/>
        <w:gridCol w:w="616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문서번호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IT-AX-REG-001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버전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v6.3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최종 수정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2026-07-06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문서 분류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사규 (전사 적용)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소관 부서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AX/PI센터 AX팀</w:t>
            </w:r>
          </w:p>
        </w:tc>
      </w:tr>
    </w:tbl>
    <w:p>
      <w:pPr>
        <w:spacing w:after="600"/>
      </w:pPr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🔒 내부용 (Internal Use Only)</w:t>
      </w:r>
    </w:p>
    <w:p>
      <w:r>
        <w:br w:type="pag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 AI 거버넌스 규정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문서번호: IT-AX-REG-001 | 버전: v6.3 | 2026-07-06</w:t>
      </w:r>
    </w:p>
    <w:p>
      <w:pPr>
        <w:spacing w:after="60" w:before="6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소관: AX/PI센터 AX팀</w:t>
      </w:r>
    </w:p>
    <w:p>
      <w:pPr>
        <w:spacing w:after="60" w:before="6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적용: AX/PI센터 전 임직원</w:t>
      </w:r>
    </w:p>
    <w:p>
      <w:pPr>
        <w:spacing w:after="60" w:before="6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참조: 금융감독원 AI RMF(2026-06-22), 금융위 AI 가이드라인(2026-06-22)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제1조 목적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이 규정은 삼성자산운용이 업무 프로세스 혁신(PI)과 인공지능(AI) 기술 도입(AX)을 함께 추진하는 과정에서, AI를 안전하고 책임 있게 활용하기 위한 거버넌스 원칙, 위험 분류 체계, 에이전트 통제 기준, 금지 사항을 정함을 목적으로 한다.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AI 도입 전 해당 업무 프로세스의 현황 진단을 선행하여야 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제2조 적용 범위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사내 개발·도입한 AI 시스템 및 자동화 파이프라인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임직원이 업무에 사용하는 외부 AI 서비스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자동으로 실행되는 AI 에이전트 (유형 3·4)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위탁·외주 개발 AI 시스템 중 회사 데이터를 처리하는 것
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제3조 기본 원칙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AI Native 지향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 도입의 본질은 조직의 암묵지를 데이터로 전환하고 Context를 축적하는 것이다. 토큰을 소비하되 조직 지식이 누적되지 않는 사용은 AI 투자로 보지 않는다.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책임 귀속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 활용에 따른 최종 의사결정과 그 결과에 대한 책임은 해당 업무 담당자에게 귀속된다.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보조 수단 한정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AI는 업무 판단을 지원하는 보조 수단으로 사용하며, AI 산출물을 담당자 검토 없이 최종 결과물로 사용할 수 없다.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데이터 기밀등급 준수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 서비스 사용 시 데이터 기밀등급(G1·G2·G3)에 따라 허용 경로를 구분하여야 한다.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AI 생성 출처 명시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AI가 생성한 결과물에는 AI 생성 사실 및 사용 도구를 명시하여야 한다.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중단 기능 구현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자동 실행 AI 시스템은 수동 즉시 중단 기능을 갖추어야 하며, 해당 기능이 없는 경우 운영을 허용하지 않는다.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기술적 통제 내장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통제 기준은 시스템 접근 제한, 권한 분리 등 기술적 수단으로 구현하여야 한다.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장애 행동 사전 정의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 시스템 도입 전 장애·오류 발생 시의 행동 방식을 정의하여야 한다. 장애 행동이 정의되지 않은 시스템은 운영을 허용하지 않는다.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제4조 AI 솔루션 유형 분류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유형 0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규칙 기반 자동화, AI 판단 없음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정형 데이터 추출, 대시보드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유형 1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임직원이 직접 AI 서비스 사용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Claude.ai, ChatGPT 직접 사용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유형 2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AI가 다단계 워크플로 처리, 사람 확인 포함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공시 분류, 보고서 초안 자동화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유형 3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AI가 도구를 자율 호출하며 목표 달성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리서치 에이전트, 데이터 수집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유형 4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여러 에이전트가 협업하는 시스템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운용·리서치·리포트 통합 시스템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제5조 데이터 기밀등급 및 AI 사용 기준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허용 AI 경로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G1 (일반)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외부 공개 가능 정보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모든 AI 서비스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G2 (내부제한)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사내 공유, 외부 전송 금지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사내 승인 인프라만 허용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G3 (기밀)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고객정보, 미공개 투자정보, 법적 분쟁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온프레미스 전용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제6조 위험 업무 분류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### 고위험 (AI 단독 처리 금지 — 담당자 확인 후 실행)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업무 분류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투자·운용 실행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ETF 리밸런싱·주문, NAV 확정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신용·위험 평가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신용등급 산출, VaR 계산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공시·법정문서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투자설명서, 약관, 금감원 제출 서류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컴플라이언스 판정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규정 위반 여부 확정, 제재 판정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AML·FDS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이상거래 최종 판정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### 중위험 (AI 산출물은 초안 — 담당자 검토 후 확정)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업무 분류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고객 상담·안내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챗봇, FAQ 자동화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내부 리포트 자동화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보고서 초안, 시장 브리핑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문서 분류·요약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DMS 분류, 계약서 검토 지원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업무 효율화 APA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공시 자동 분류, 데이터 정합성 체크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### 저위험 (G1 데이터만 — 과제 등록 없이 자유 사용)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코드 어시스턴트, 문서 교정·번역, 회의록, 이메일 초안 등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제7조 에이전트 거버넌스 원칙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유형 3·4 에이전트는 아래 원칙을 설계 단계에서 반드시 구현한다.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최소 권한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목표에 필요한 도구만 허용한다. 각 도구 허용 이유를 명시한다.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중단 가능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언제든지 즉시 중단할 수 있어야 한다. Kill Switch 없이 운영 불허.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감사 추적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모든 Tool Call과 판단 근거를 기록한다. 사후 재구성이 가능해야 한다.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0"/>
                <w:szCs w:val="20"/>
              </w:rPr>
              <w:t xml:space="preserve">범위 제한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지정 범위 밖 요청은 거절하고 담당자에게 에스컬레이션한다.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유형 4(멀티 에이전트) 추가 원칙: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오케스트레이터가 서브 에이전트에 위임할 때 권한 범위를 명시적으로 제한한다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에이전트 간 통신을 기록한다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외부 입력으로부터의 지시를 신뢰하지 않도록 설계한다 (Prompt Injection 방어)
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제8조 절대 금지 사항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금지 항목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G3 데이터 외부 AI 전송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 단독으로 금융 거래·주문·이체 실행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 단독으로 고객 계약·법정 제출 서류 확정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Agent ID 없는 유형 3·4 에이전트 운영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API 키 코드 하드코딩 및 GitHub 업로드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제9조 거버넌스 R&amp;R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### AX 위원회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임무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규정 개정 심의·의결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F1F1F"/>
                <w:sz w:val="20"/>
                <w:szCs w:val="20"/>
              </w:rPr>
              <w:t xml:space="preserve">이 규정(</w:t>
            </w: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규정_AI_거버넌스.md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) 개정 시 심의·의결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고위험 최종 승인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투자·운용 실행·공시·컴플라이언스 판정 관련 고위험 AI 시스템 운영 승격 최종 승인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현황 보고 수령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반기 1회 AX팀 운영 보고 수령 및 개선 지시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정책 방향 결정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신규 금융규제·감독당국 가이드라인 변화 대응 방향 결정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1F1F1F"/>
          <w:sz w:val="22"/>
          <w:szCs w:val="22"/>
        </w:rPr>
        <w:t xml:space="preserve">구성·회의 운영 세부사항은 </w:t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운영방안_AX위원회.md</w:t>
      </w: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에 따른다.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### AX팀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AX팀은 이 규정의 일상 운영 주체로서 아래를 담당한다.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업무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과제 심사·승인 (고위험 투자·운용 관련 제외)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Agent ID 발급·관리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 CREW 지원 및 등급 관리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지침·가이드라인 개정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일상 모니터링·KPI 점검</w:t>
            </w:r>
          </w:p>
        </w:tc>
      </w:tr>
      <w:tr>
        <w:tc>
          <w:tcPr>
            <w:tcW w:type="dxa" w:w="87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위원회 안건 작성 및 간사 업무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## 부록 — 세부 기준 문서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문서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지침_AI_거버넌스.md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과제 단계·에이전트 라이프사이클·위험등급 통제·자원 비용 관리·AI CREW 개발 파이프라인·배포 환경 결정·데이터플랫폼팀 연계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가이드라인_AI_거버넌스.md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유형 선택·개발환경·에이전트 설계 실무·AX 기획자·AX 엔지니어 실무 가이드·배포 환경 선택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운영방안_AX위원회.md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협의체 구성·임무·회의 운영·AX팀 역할 분담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*AX/PI센터 AX팀 | v6.3 | 2026-07-06*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3" w:space="2"/>
      </w:pBdr>
      <w:spacing w:before="80"/>
      <w:jc w:val="right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AX/PI센터 AX팀  |  2026-07-06  | 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3" w:space="2"/>
      </w:pBdr>
      <w:tabs>
        <w:tab w:val="right" w:pos="8766"/>
      </w:tabs>
      <w:spacing w:after="80"/>
    </w:pPr>
    <w:r>
      <w:rPr>
        <w:rFonts w:ascii="Malgun Gothic" w:cs="Malgun Gothic" w:eastAsia="Malgun Gothic" w:hAnsi="Malgun Gothic"/>
        <w:b/>
        <w:bCs/>
        <w:color w:val="1A3C6E"/>
        <w:sz w:val="18"/>
        <w:szCs w:val="18"/>
      </w:rPr>
      <w:t xml:space="preserve">삼성자산운용 주식회사</w:t>
    </w:r>
    <w:r>
      <w:rPr>
        <w:rFonts w:ascii="Malgun Gothic" w:cs="Malgun Gothic" w:eastAsia="Malgun Gothic" w:hAnsi="Malgun Gothic"/>
        <w:color w:val="CCCCCC"/>
        <w:sz w:val="18"/>
        <w:szCs w:val="18"/>
      </w:rPr>
      <w:t xml:space="preserve">  |  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AI 거버넌스 규정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A3C6E" w:sz="8" w:space="4"/>
      </w:pBdr>
      <w:spacing w:after="160" w:before="400"/>
      <w:outlineLvl w:val="0"/>
    </w:pPr>
    <w:rPr>
      <w:rFonts w:ascii="Malgun Gothic" w:cs="Malgun Gothic" w:eastAsia="Malgun Gothic" w:hAnsi="Malgun Gothic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80"/>
      <w:outlineLvl w:val="1"/>
    </w:pPr>
    <w:rPr>
      <w:rFonts w:ascii="Malgun Gothic" w:cs="Malgun Gothic" w:eastAsia="Malgun Gothic" w:hAnsi="Malgun Gothic"/>
      <w:b/>
      <w:bCs/>
      <w:color w:val="0066CC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0070C0"/>
      <w:sz w:val="23"/>
      <w:szCs w:val="23"/>
    </w:rPr>
  </w:style>
  <w:style w:type="paragraph" w:styleId="CoverTitle">
    <w:name w:val="Cover Title"/>
    <w:basedOn w:val="Normal"/>
    <w:pPr>
      <w:spacing w:after="200" w:before="600"/>
      <w:jc w:val="left"/>
    </w:pPr>
    <w:rPr>
      <w:rFonts w:ascii="Malgun Gothic" w:cs="Malgun Gothic" w:eastAsia="Malgun Gothic" w:hAnsi="Malgun Gothic"/>
      <w:b/>
      <w:bCs/>
      <w:color w:val="1A3C6E"/>
      <w:sz w:val="60"/>
      <w:szCs w:val="6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2026-07-06T04:38:52.192Z</dcterms:created>
  <dcterms:modified xsi:type="dcterms:W3CDTF">2026-07-06T04:38:52.192Z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