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rFonts w:ascii="맑은 고딕" w:cs="맑은 고딕" w:eastAsia="맑은 고딕" w:hAnsi="맑은 고딕"/>
          <w:color w:val="5A5A5A"/>
          <w:sz w:val="18"/>
          <w:szCs w:val="18"/>
        </w:rPr>
        <w:t xml:space="preserve">[내부 검토용 · 조직개편 기획]</w:t>
      </w:r>
    </w:p>
    <w:p>
      <w:pPr>
        <w:pBdr>
          <w:bottom w:val="single" w:color="1428A0" w:sz="16" w:space="2"/>
        </w:pBdr>
        <w:spacing w:after="60"/>
      </w:pPr>
      <w:r>
        <w:rPr>
          <w:rFonts w:ascii="맑은 고딕" w:cs="맑은 고딕" w:eastAsia="맑은 고딕" w:hAnsi="맑은 고딕"/>
          <w:b/>
          <w:bCs/>
          <w:color w:val="1428A0"/>
          <w:sz w:val="40"/>
          <w:szCs w:val="40"/>
        </w:rPr>
        <w:t xml:space="preserve">AX/PI팀 출범 청사진</w:t>
      </w:r>
    </w:p>
    <w:p>
      <w:pPr>
        <w:spacing w:after="220"/>
      </w:pPr>
      <w:r>
        <w:rPr>
          <w:rFonts w:ascii="맑은 고딕" w:cs="맑은 고딕" w:eastAsia="맑은 고딕" w:hAnsi="맑은 고딕"/>
          <w:color w:val="0B1F66"/>
          <w:sz w:val="20"/>
          <w:szCs w:val="20"/>
        </w:rPr>
        <w:t xml:space="preserve">AI 전환·프로세스 혁신 — Charter · AI 서비스 스택 · AI-Ready Data(Snowflake) · 현업 활용지도 · 거버넌스 · 로드맵(100일/6M/12M/2Y) · 4팀 관점·R&amp;R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작성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홍인표 (AX/PI팀장 내정)</w:t>
            </w:r>
          </w:p>
        </w:tc>
        <w:tc>
          <w:tcPr>
            <w:tcW w:type="dxa" w:w="15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작성일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2026. 06. 24</w:t>
            </w:r>
          </w:p>
        </w:tc>
      </w:tr>
      <w:tr>
        <w:tc>
          <w:tcPr>
            <w:tcW w:type="dxa" w:w="15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조직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삼성자산운용 IT솔루션담당</w:t>
            </w:r>
          </w:p>
        </w:tc>
        <w:tc>
          <w:tcPr>
            <w:tcW w:type="dxa" w:w="15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버전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v0.2 (데이터·4팀관점 강화)</w:t>
            </w:r>
          </w:p>
        </w:tc>
      </w:tr>
    </w:tbl>
    <w:p>
      <w:pPr>
        <w:spacing w:after="120"/>
      </w:pPr>
    </w:p>
    <w:p>
      <w:pPr>
        <w:spacing w:after="100" w:line="272"/>
      </w:pPr>
      <w:r>
        <w:rPr>
          <w:rFonts w:ascii="맑은 고딕" w:cs="맑은 고딕" w:eastAsia="맑은 고딕" w:hAnsi="맑은 고딕"/>
          <w:i/>
          <w:iCs/>
          <w:color w:val="5A5A5A"/>
          <w:sz w:val="18"/>
          <w:szCs w:val="18"/>
        </w:rPr>
        <w:t xml:space="preserve">배경: 그룹 차원 AI 전환 가속에 맞춰 IT솔루션담당을 4팀(AX/PI·데이터플랫폼·정보전략·IT업무개발)으로 개편. 본 청사진은 AX/PI팀의 정체성·운영모델·실행 로드맵을 구체화한다.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I. AX/PI팀 Charter</w:t>
      </w:r>
    </w:p>
    <w:p>
      <w:pPr>
        <w:spacing w:after="100" w:line="272"/>
      </w:pPr>
      <w:r>
        <w:rPr>
          <w:rFonts w:ascii="맑은 고딕" w:cs="맑은 고딕" w:eastAsia="맑은 고딕" w:hAnsi="맑은 고딕"/>
          <w:b/>
          <w:bCs/>
          <w:color w:val="1428A0"/>
          <w:sz w:val="21"/>
          <w:szCs w:val="21"/>
        </w:rPr>
        <w:t xml:space="preserve">한 줄 정의 — “도입을 늦추지 않으면서, 가드레일을 함께 깔며 현업과 AI를 ‘일하게’ 만드는 팀”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미션·운영원칙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미션: 자산운용 핵심 업무에 AI를 안착시켜 생산성·의사결정·신사업을 증강(대체 아님, 현업 상생)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운영원칙 4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속도 우선 — 거버넌스는 게이트가 아니라 병행 가드레일(완벽 거버넌스 선행 금지)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등대 우선 — 임팩트 큰 1~2개를 직접 만들어 굴리고, 그 패턴을 전사로 복제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현업 주도 — AX는 촉진·구축, 과제·수용은 현업과 공동설계(Human-in-the-loop)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측정 가능 — 모든 과제에 ROI·정직성 지표 부착(가짜 성과 차단)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하는 일 / 안 하는 일 (경계)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4680"/>
        <w:gridCol w:w="4680"/>
      </w:tblGrid>
      <w:tr>
        <w:tc>
          <w:tcPr>
            <w:tcW w:type="dxa" w:w="468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In-scope (AX/PI)</w:t>
            </w:r>
          </w:p>
        </w:tc>
        <w:tc>
          <w:tcPr>
            <w:tcW w:type="dxa" w:w="468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Out-of-scope (→ 타 팀)</w:t>
            </w:r>
          </w:p>
        </w:tc>
      </w:tr>
      <w:tr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전사 AI 과제 발굴·우선순위·PI(업무 재설계)</w:t>
            </w:r>
          </w:p>
        </w:tc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 플랫폼·파이프라인·DW 구축/운영 → 데이터플랫폼팀</w:t>
            </w:r>
          </w:p>
        </w:tc>
      </w:tr>
      <w:tr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등대 AI 제품/agent PoC·구축·운영</w:t>
            </w:r>
          </w:p>
        </w:tc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기간계·SI성 앱 개발/운영 → IT업무개발팀</w:t>
            </w:r>
          </w:p>
        </w:tc>
      </w:tr>
      <w:tr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AI 활용 가드레일(사용정책·평가·리스크·정직성)</w:t>
            </w:r>
          </w:p>
        </w:tc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전사 IT 전략·예산·상위 거버넌스 → 정보전략팀</w:t>
            </w:r>
          </w:p>
        </w:tc>
      </w:tr>
      <w:tr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현업 AI 역량 확산(교육·템플릿)·성과측정</w:t>
            </w:r>
          </w:p>
        </w:tc>
        <w:tc>
          <w:tcPr>
            <w:tcW w:type="dxa" w:w="468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 거버넌스 = 데이터플랫폼과 2-track 공동(협의)</w:t>
            </w:r>
          </w:p>
        </w:tc>
      </w:tr>
    </w:tbl>
    <w:p>
      <w:pPr>
        <w:spacing w:after="120" w:line="272"/>
      </w:pPr>
      <w:r>
        <w:rPr>
          <w:rFonts w:ascii="맑은 고딕" w:cs="맑은 고딕" w:eastAsia="맑은 고딕" w:hAnsi="맑은 고딕"/>
          <w:color w:val="0B1F66"/>
          <w:sz w:val="21"/>
          <w:szCs w:val="21"/>
        </w:rPr>
        <w:t xml:space="preserve">차별점(왜 AX·왜 이 팀장): 멀티에이전트 AI 조직 운영·ETF AI 파이프라인·업무효율화 과제를 이미 ‘만들어 굴린’ 실증 보유 → 구호가 아니라 작동하는 레퍼런스에서 출발.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II. AI 서비스 스택 — ‘무엇을·언제 쓰는가’</w:t>
      </w:r>
    </w:p>
    <w:p>
      <w:pPr>
        <w:spacing w:after="90" w:line="272"/>
      </w:pPr>
      <w:r>
        <w:rPr>
          <w:rFonts w:ascii="맑은 고딕" w:cs="맑은 고딕" w:eastAsia="맑은 고딕" w:hAnsi="맑은 고딕"/>
          <w:sz w:val="21"/>
          <w:szCs w:val="21"/>
        </w:rPr>
        <w:t xml:space="preserve">규제·기밀 산업 특성상 ‘하나의 모델’이 아니라 데이터 기밀등급별 모델·배치를 매트릭스로 운영한다. 이것이 거버넌스의 실체다.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기밀등급 × 허용 모델 매트릭스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1700"/>
        <w:gridCol w:w="3000"/>
        <w:gridCol w:w="2630"/>
        <w:gridCol w:w="2030"/>
      </w:tblGrid>
      <w:tr>
        <w:tc>
          <w:tcPr>
            <w:tcW w:type="dxa" w:w="17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30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데이터 예시</w:t>
            </w:r>
          </w:p>
        </w:tc>
        <w:tc>
          <w:tcPr>
            <w:tcW w:type="dxa" w:w="263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허용 모델·배치</w:t>
            </w:r>
          </w:p>
        </w:tc>
        <w:tc>
          <w:tcPr>
            <w:tcW w:type="dxa" w:w="203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통제</w:t>
            </w:r>
          </w:p>
        </w:tc>
      </w:tr>
      <w:t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G3 (고기밀)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고객 PI·운용 포지션·미공개 거래·MNPI</w:t>
            </w:r>
          </w:p>
        </w:tc>
        <w:tc>
          <w:tcPr>
            <w:tcW w:type="dxa" w:w="26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사내망 온프레 오픈모델(Llama 3.x·Qwen2.5 파인튜닝)·폐쇄형 sLLM</w:t>
            </w:r>
          </w:p>
        </w:tc>
        <w:tc>
          <w:tcPr>
            <w:tcW w:type="dxa" w:w="20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외부 API 금지·전구간 사내·감사로그</w:t>
            </w:r>
          </w:p>
        </w:tc>
      </w:tr>
      <w:t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G2 (사내일반)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내부 문서·리서치·회의·업무메일</w:t>
            </w:r>
          </w:p>
        </w:tc>
        <w:tc>
          <w:tcPr>
            <w:tcW w:type="dxa" w:w="26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Azure OpenAI(무학습·리전 고정) 또는 HyperCLOVA X(국내)</w:t>
            </w:r>
          </w:p>
        </w:tc>
        <w:tc>
          <w:tcPr>
            <w:tcW w:type="dxa" w:w="20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DLP·PII 마스킹·승인 테넌트만</w:t>
            </w:r>
          </w:p>
        </w:tc>
      </w:tr>
      <w:t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G1 (공개/저민감)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공개시장·뉴스·코드·마케팅 초안</w:t>
            </w:r>
          </w:p>
        </w:tc>
        <w:tc>
          <w:tcPr>
            <w:tcW w:type="dxa" w:w="26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Claude·GPT·Gemini API, M365·GitHub Copilot</w:t>
            </w:r>
          </w:p>
        </w:tc>
        <w:tc>
          <w:tcPr>
            <w:tcW w:type="dxa" w:w="203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사용정책 준수·출처표시</w:t>
            </w:r>
          </w:p>
        </w:tc>
      </w:tr>
    </w:tbl>
    <w:p>
      <w:pPr>
        <w:spacing w:after="90" w:line="272"/>
      </w:pPr>
      <w:r>
        <w:rPr>
          <w:rFonts w:ascii="맑은 고딕" w:cs="맑은 고딕" w:eastAsia="맑은 고딕" w:hAnsi="맑은 고딕"/>
          <w:i/>
          <w:iCs/>
          <w:color w:val="5A5A5A"/>
          <w:sz w:val="18"/>
          <w:szCs w:val="18"/>
        </w:rPr>
        <w:t xml:space="preserve">원칙: 데이터를 모델에 맞추지 않고, 모델을 데이터 등급에 맞춘다. 동일 과제도 G3 경로(온프레)·G1 경로(클라우드)를 분리 설계.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공통 기술요소 (재사용 빌딩블록)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2400"/>
        <w:gridCol w:w="7000"/>
      </w:tblGrid>
      <w:tr>
        <w:tc>
          <w:tcPr>
            <w:tcW w:type="dxa" w:w="24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요소</w:t>
            </w:r>
          </w:p>
        </w:tc>
        <w:tc>
          <w:tcPr>
            <w:tcW w:type="dxa" w:w="70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도구(예시)·용도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RAG/지식검색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Snowflake Cortex Search·네이티브 VECTOR(또는 pgvector·Weaviate) + 임베딩 → 근거기반 답변(출처강제)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에이전트 오케스트레이션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LangGraph·Claude Agent SDK·AutoGen → 멀티스텝 업무 자동화(검토→실행→보고)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문서 AI(한국어)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Upstage Document Parse·Azure Doc Intelligence → 계약·공시·리포트 PDF 구조화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음성(STT)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Clova Speech·Whisper(온프레) → 회의·어닝콜 자동 회의록·요약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코파일럿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M365 Copilot(문서·메일)·GitHub Copilot(개발) → 일상 생산성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평가·가드레일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Ragas·LLM-as-judge(품질), Presidio(PII), NeMo Guardrails(금칙·탈옥 방어)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MLOps/운영</w:t>
            </w:r>
          </w:p>
        </w:tc>
        <w:tc>
          <w:tcPr>
            <w:tcW w:type="dxa" w:w="7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프롬프트 레지스트리·버전관리, 모델 라우팅, 사용량·비용·품질 모니터링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III. 데이터 — AI-Ready Data 기반 (Snowflake)</w:t>
      </w:r>
    </w:p>
    <w:p>
      <w:pPr>
        <w:spacing w:after="90" w:line="272"/>
      </w:pPr>
      <w:r>
        <w:rPr>
          <w:rFonts w:ascii="맑은 고딕" w:cs="맑은 고딕" w:eastAsia="맑은 고딕" w:hAnsi="맑은 고딕"/>
          <w:sz w:val="21"/>
          <w:szCs w:val="21"/>
        </w:rPr>
        <w:t xml:space="preserve">AI 성패의 8할은 데이터다. 최근 도입한 Snowflake를 ‘AI가 믿고 쓸 수 있는’ AI-Ready Data 기반으로 끌어올리는 것이 전환의 토대다. (데이터플랫폼팀 소유·운영 / AX는 활용요건 정의·소비)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데이터 플랫폼 — Snowflake 활용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Snowflake Cortex — 인-DB LLM(COMPLETE·SUMMARIZE·EXTRACT)·Cortex Search(RAG)·Cortex Analyst(NL→SQL)</w:t>
      </w:r>
    </w:p>
    <w:p>
      <w:pPr>
        <w:pStyle w:val="ListParagraph"/>
        <w:numPr>
          <w:ilvl w:val="1"/>
          <w:numId w:val="2"/>
        </w:numPr>
        <w:spacing w:after="5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데이터를 밖으로 빼지 않고 계정 내에서 AI 처리 = 기밀(G2/G3) 유출 0의 결정적 강점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네이티브 VECTOR·벡터검색 — 사내 RAG 임베딩을 Snowflake 안에서 저장·검색(데이터·인덱스 일원화)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Snowpark·Feature Store·Model Registry — 운용·리서치 ML 피처/모델 운영(파이썬 인-플랫폼)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Horizon 거버넌스 — 동적 마스킹·행/열 접근정책·객체 태깅/분류·데이터 계보 → 기밀등급 통제를 데이터 계층에서 강제</w:t>
      </w:r>
    </w:p>
    <w:p>
      <w:pPr>
        <w:spacing w:after="100" w:line="272"/>
      </w:pPr>
      <w:r>
        <w:rPr>
          <w:rFonts w:ascii="맑은 고딕" w:cs="맑은 고딕" w:eastAsia="맑은 고딕" w:hAnsi="맑은 고딕"/>
          <w:color w:val="0B1F66"/>
          <w:sz w:val="21"/>
          <w:szCs w:val="21"/>
        </w:rPr>
        <w:t xml:space="preserve">의의: “데이터를 모델로 옮기지 말고, 모델을 데이터(Snowflake)로.” G3 민감데이터도 계정 내 Cortex로 처리 → 외부 API 없이 AI 활용. II장 등급매트릭스가 데이터 계층에서 실집행된다.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AI-Ready Data 충족 6요건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2500"/>
        <w:gridCol w:w="6900"/>
      </w:tblGrid>
      <w:tr>
        <w:tc>
          <w:tcPr>
            <w:tcW w:type="dxa" w:w="25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요건</w:t>
            </w:r>
          </w:p>
        </w:tc>
        <w:tc>
          <w:tcPr>
            <w:tcW w:type="dxa" w:w="69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 (없으면 AI가 헛돈다)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① 발견가능성</w:t>
            </w:r>
          </w:p>
        </w:tc>
        <w:tc>
          <w:tcPr>
            <w:tcW w:type="dxa" w:w="6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 카탈로그·메타데이터 — 무슨 데이터가 어디 있는지(검색·이해)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② 출처·계보</w:t>
            </w:r>
          </w:p>
        </w:tc>
        <w:tc>
          <w:tcPr>
            <w:tcW w:type="dxa" w:w="6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lineage/provenance — 어디서 왔고 어떻게 가공됐나(신뢰·감사)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③ 신선도·SLA</w:t>
            </w:r>
          </w:p>
        </w:tc>
        <w:tc>
          <w:tcPr>
            <w:tcW w:type="dxa" w:w="6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갱신주기·지연 보장 — 낡은 데이터로 AI가 오판하지 않게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④ 품질·검증</w:t>
            </w:r>
          </w:p>
        </w:tc>
        <w:tc>
          <w:tcPr>
            <w:tcW w:type="dxa" w:w="6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결측·이상·정합성 체크 — 쓰레기 입력 차단(GIGO 방지)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⑤ 기밀·접근</w:t>
            </w:r>
          </w:p>
        </w:tc>
        <w:tc>
          <w:tcPr>
            <w:tcW w:type="dxa" w:w="6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등급분류·마스킹·RBAC — 등급매트릭스와 연동된 접근통제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⑥ 구조·임베딩 준비</w:t>
            </w:r>
          </w:p>
        </w:tc>
        <w:tc>
          <w:tcPr>
            <w:tcW w:type="dxa" w:w="6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정제·청킹·벡터화 가능 — RAG/agent가 바로 소비 가능한 형태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핸드오프 계약 — 데이터 생산자↔소비자(AX) 간 스키마·SLA·품질 기준을 계약화(말로 하면 깨짐)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데이터 수명주기 &amp; 2-track 분담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수집 → 정제·표준화 → 카탈로그·거버넌스 → 피처/임베딩 → AI 소비(RAG·agent·ML) → 피드백 루프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데이터플랫폼 track: 파이프라인·품질·신선도·거버넌스 ‘실행’(Snowflake 운영)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AX track: AI 활용요건·소비 패턴·피드백 정의 + AI 관점 가드레일(무엇을 어떻게 쓸지)</w:t>
      </w:r>
    </w:p>
    <w:p>
      <w:pPr>
        <w:spacing w:after="100" w:line="272"/>
      </w:pPr>
      <w:r>
        <w:rPr>
          <w:rFonts w:ascii="맑은 고딕" w:cs="맑은 고딕" w:eastAsia="맑은 고딕" w:hAnsi="맑은 고딕"/>
          <w:i/>
          <w:iCs/>
          <w:color w:val="5A5A5A"/>
          <w:sz w:val="18"/>
          <w:szCs w:val="18"/>
        </w:rPr>
        <w:t xml:space="preserve">→ 데이터 거버넌스는 두 트랙의 교집합. 타 팀장 협의로 RACI 확정.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IV. 현업별 AI 활용 지도 (핵심·구체)</w:t>
      </w:r>
    </w:p>
    <w:p>
      <w:pPr>
        <w:spacing w:after="80" w:line="272"/>
      </w:pPr>
      <w:r>
        <w:rPr>
          <w:rFonts w:ascii="맑은 고딕" w:cs="맑은 고딕" w:eastAsia="맑은 고딕" w:hAnsi="맑은 고딕"/>
          <w:sz w:val="21"/>
          <w:szCs w:val="21"/>
        </w:rPr>
        <w:t xml:space="preserve">‘어떤 업무를 / 어떤 AI로 / 어떻게 / 어떤 효과·등급’으로 매핑. 등대 후보는 ★.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운용 (Portfolio / ETF)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★ ETF 상품제안·검증 AI(MH LAB) — 테마→인덱스설계→백테스트(정직성가드)→리더보드 [G2/G3]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★ 운용 EOD 오케스트레이터 — 리밸런싱·NAV·추적오차 자동 산출·이상탐지(운용시스템 엔진 연계) [G3]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운용역 코파일럿 — 포지션·시장 Q&amp;A, 일일 운용메모 초안 [G3 온프레 RAG]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리서치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★ 리서치 어시스턴트(RAG) — 공시·리포트·뉴스 요약·교차질의, 출처강제·환각검증 [G2]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어닝콜·IR STT→요약·핵심지표 추출 [G2], 투자아이디어 1차 스크리닝 [G1/G2]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상품개발·마케팅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★ ETF 출시문서 자동생성(WS7) — 법정문서 11종 초안 + 면책·검수 라우팅 [G2]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상품 시장성 분석 보조 [G1], 마케팅 콘텐츠·SNS 초안(심의 전 검토) [G1]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트레이딩·리스크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이상거래·리스크 알림 자연어 요약, 시나리오/스트레스 분석 해설 보조(판단은 사람) [G3]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컴플라이언스·감사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규제 RAG(법규·내규 Q&amp;A, 근거조항 인용) [G2], 광고·공시 초안 사전검토 보조 [G2]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이해상충·위반 징후 모니터링 보조 — 적출은 AI, 판정은 컴플(Human-in-the-loop) [G3]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6. 오퍼레이션 (미들·백오피스)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문서관리(DMS) AI 분류·검색 [G2/G3], 펀드사무·정산 예외처리 보조 [G3]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메일·문의 자동 분류·라우팅, 반복 업무 RPA+LLM 결합 [G2]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7. 전사 공통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지식포털(사내 RAG 검색)·회의록 자동화(STT)·코드 코파일럿·문서/메일 코파일럿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V. 에이전트 운영 아키텍처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부서형 멀티에이전트 — 업무영역별 전문 agent(운용·리서치·컴플·오퍼) + 오케스트레이터가 작업 분배·종합 (Jarvis 운영모델의 사내화)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작업 루프 표준 — 발굴 → 초안/실행(agent) → 검증(독립 QA·근거확인) → 현업 인수 → 사후 감사. 외부행동(발송·체결·공시)은 사람 승인 게이트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재사용 — 공통 RAG·가드레일·평가 모듈을 플랫폼화해 신규 과제는 ‘조립’으로 빠르게(=속도)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배치 — G3 과제는 온프레 격리 실행, G1은 클라우드. 동일 인터페이스 뒤에서 모델만 스왑(토글)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VI. 거버넌스·가드레일 (병행, 최소→정교화)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데이터 등급분류 + 등급별 허용모델 매트릭스 적용(II장) — ‘쓰면서’ 갱신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입력 통제 — PII·기밀 탐지·마스킹·차단(Presidio류), DLP 연계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출력 신뢰 — RAG 출처강제·환각검증(LLM-judge), 운용·컴플은 근거 없는 단정 금지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Human-in-the-loop 필수영역 — 운용 의사결정·컴플 판정·고객 커뮤니케이션·공시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정직성 프레임(운용 특화) — 백테스트 생존편향 금지·비용/슬리피지 반영·수정주가(가짜성과 차단)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감사성 — 프롬프트·응답·모델·근거 보존, 사용량·비용·품질 대시보드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사용정책 v0 — 승인 모델 목록·금지 용도·사고대응. 분기 개정(살아있는 문서)</w:t>
      </w:r>
    </w:p>
    <w:p>
      <w:pPr>
        <w:spacing w:after="100" w:line="272"/>
      </w:pPr>
      <w:r>
        <w:rPr>
          <w:rFonts w:ascii="맑은 고딕" w:cs="맑은 고딕" w:eastAsia="맑은 고딕" w:hAnsi="맑은 고딕"/>
          <w:i/>
          <w:iCs/>
          <w:color w:val="5A5A5A"/>
          <w:sz w:val="18"/>
          <w:szCs w:val="18"/>
        </w:rPr>
        <w:t xml:space="preserve">※ 데이터 거버넌스는 데이터플랫폼팀과 2-track 공동, 타 팀장 협의로 확정.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VII. 로드맵 — 100일 / 6개월 / 12개월 / 2년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① 100일 — 토대 + 첫 등대 (속도 증명)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팀 출범·미션 정렬, 전사 AI 과제 인벤토리(부서 인터뷰)→우선순위(임팩트×난이도) quick-win 선별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서비스 스택 v0 구축 — G1 클라우드 테넌트(Azure OpenAI·Copilot) + G3 온프레 PoC 환경, 공통 RAG·가드레일 모듈 셋업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등대 과제 1~2개 PoC — 보유자산 레버리지(리서치 어시스턴트 RAG / ETF 상품제안·문서생성)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가드레일 v0(사용정책·등급매트릭스·PII마스킹) + 데이터플랫폼 2-track 협의 착수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KPI: 과제 인벤토리 N건·등대 PoC 가동·정책 v0 승인·사용자 N명 온보딩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② 6개월 — 등대 가동 + 확산 시작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등대 과제 운영전환(파일럿→상시)·성과 측정(시간절감·품질), PI 분기 사이클 정착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지식포털·회의록 자동화 전사 오픈(공통 효익 체감 도구 먼저)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가드레일 v1(모델평가·리스크등급·검증절차) — 컴플/리스크 부서 연계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현업 AI 역량 프로그램(교육·프롬프트 템플릿·챔피언 양성) 시작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KPI: 등대 ROI 1건 이상 입증·월활성 사용자·과제 처리 리드타임 단축%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③ 12개월 — 스케일 + 내재화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AI 과제 포트폴리오 다수 운영(부서별 2~3개)·누적 ROI 보고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agent 표준·셀프서비스화 — 현업이 직접 조립·활용(AX는 플랫폼·심사)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가드레일 v2(안정 운영체계)·2-track 데이터 거버넌스 정착·감사 자동화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KPI: 부서 커버리지%·셀프서비스 과제 비중·정직성/사고 0 유지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④ 2년 — AX가 ‘기본’이 됨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‘AI로 일하는 게 디폴트’인 운영체계·문화 — 운용·리서치·오퍼레이션 핵심에 AI 내재화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측정 가능한 생산성·운용 알파·비용절감 기여, 신사업(대외 AI 역량 활용) 타진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AX팀 = 그룹 AI 전환 레퍼런스(타 계열사 확산 모델)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KPI: 전사 생산성 지표·AI 기여 매출/비용·그룹 레퍼런스 채택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VIII. 4팀 관점 및 R&amp;R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각 팀이 보는 시각 (전사 균형)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1900"/>
        <w:gridCol w:w="4100"/>
        <w:gridCol w:w="3360"/>
      </w:tblGrid>
      <w:tr>
        <w:tc>
          <w:tcPr>
            <w:tcW w:type="dxa" w:w="19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팀</w:t>
            </w:r>
          </w:p>
        </w:tc>
        <w:tc>
          <w:tcPr>
            <w:tcW w:type="dxa" w:w="41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 전환을 보는 시각</w:t>
            </w:r>
          </w:p>
        </w:tc>
        <w:tc>
          <w:tcPr>
            <w:tcW w:type="dxa" w:w="33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성공조건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AX/PI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수요·활용·등대 빌드·가드레일 — “AI를 일하게 만든다”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현업 임팩트·확산·정직성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데이터플랫폼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AI-Ready Data·Snowflake·피처/벡터·거버넌스 실행 — “AI가 믿고 쓸 데이터”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 신선도·품질·신뢰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정보전략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전략·예산·보안·아키텍처 정합 — “안전하고 정합적인 전환”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리스크 통제·투자 정당화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IT업무개발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기간계 연계·등대 운영이관·SI — “현장에 녹이는 손”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안정 운영·시스템 연계</w:t>
            </w:r>
          </w:p>
        </w:tc>
      </w:tr>
    </w:tbl>
    <w:p>
      <w:pPr>
        <w:spacing w:after="110" w:line="272"/>
      </w:pPr>
      <w:r>
        <w:rPr>
          <w:rFonts w:ascii="맑은 고딕" w:cs="맑은 고딕" w:eastAsia="맑은 고딕" w:hAnsi="맑은 고딕"/>
          <w:color w:val="0B1F66"/>
          <w:sz w:val="21"/>
          <w:szCs w:val="21"/>
        </w:rPr>
        <w:t xml:space="preserve">→ AX는 ‘엔진’, 데이터플랫폼은 ‘연료’, 정보전략은 ‘안전·정합’, IT업무개발은 ‘정착’. 네 시각이 맞물려야 전환이 굴러간다.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R&amp;R 경계 (협의 기준안)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1900"/>
        <w:gridCol w:w="4100"/>
        <w:gridCol w:w="3360"/>
      </w:tblGrid>
      <w:tr>
        <w:tc>
          <w:tcPr>
            <w:tcW w:type="dxa" w:w="19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팀</w:t>
            </w:r>
          </w:p>
        </w:tc>
        <w:tc>
          <w:tcPr>
            <w:tcW w:type="dxa" w:w="410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핵심 R&amp;R</w:t>
            </w:r>
          </w:p>
        </w:tc>
        <w:tc>
          <w:tcPr>
            <w:tcW w:type="dxa" w:w="336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AX와의 인터페이스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AX/PI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AI 과제 발굴·PI·등대 빌드/agent·AI 가드레일·현업 확산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오케스트레이터(수요↔공급 연결)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데이터플랫폼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데이터 수집·표준·파이프라인·DW/레이크·피처/벡터 인프라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AX에 데이터·임베딩 인프라 공급 / 데이터 거버넌스 2-track 공동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정보전략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전사 IT 전략·예산·아키텍처·상위 거버넌스·벤더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AX 과제의 전략정합·예산·보안정책 승인</w:t>
            </w:r>
          </w:p>
        </w:tc>
      </w:tr>
      <w:t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IT업무개발</w:t>
            </w:r>
          </w:p>
        </w:tc>
        <w:tc>
          <w:tcPr>
            <w:tcW w:type="dxa" w:w="41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기간계·업무시스템 개발/운영·SI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AX 등대의 운영 이관·시스템 연계 개발</w:t>
            </w:r>
          </w:p>
        </w:tc>
      </w:tr>
    </w:tbl>
    <w:p>
      <w:pPr>
        <w:spacing w:after="120" w:line="272"/>
      </w:pPr>
      <w:r>
        <w:rPr>
          <w:rFonts w:ascii="맑은 고딕" w:cs="맑은 고딕" w:eastAsia="맑은 고딕" w:hAnsi="맑은 고딕"/>
          <w:sz w:val="21"/>
          <w:szCs w:val="21"/>
        </w:rPr>
        <w:t xml:space="preserve">중복 위험 지점 &amp; 해소: ① ‘AI 앱 개발’ AX vs IT업무개발 → AX는 PoC·등대·agent까지, 안정 운영은 IT업무개발로 이관 ② ‘데이터 거버넌스’ AX vs 데이터플랫폼 → 정책(AI활용)·실행(데이터) 2-track ③ ‘거버넌스’ AX vs 정보전략 → AX는 AI 활용 가드레일, 정보전략은 상위 IT/보안 거버넌스.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IX. 조직·리스크·성공지표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팀 구성(안)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PI/과제기획(현업 인터페이스) · AI 엔지니어(agent·RAG·LLMOps) · 데이터/평가 · 거버넌스 — 소수정예 + 현업 챔피언 네트워크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리스크 &amp; 대응</w:t>
      </w:r>
    </w:p>
    <w:tbl>
      <w:tblPr>
        <w:tblW w:type="dxa" w:w="9360"/>
        <w:tblBorders>
          <w:top w:val="single" w:color="BFC8DA" w:sz="1"/>
          <w:left w:val="single" w:color="BFC8DA" w:sz="1"/>
          <w:bottom w:val="single" w:color="BFC8DA" w:sz="1"/>
          <w:right w:val="single" w:color="BFC8DA" w:sz="1"/>
          <w:insideH w:val="single" w:color="BFC8DA" w:sz="1"/>
          <w:insideV w:val="single" w:color="BFC8DA" w:sz="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리스크</w:t>
            </w:r>
          </w:p>
        </w:tc>
        <w:tc>
          <w:tcPr>
            <w:tcW w:type="dxa" w:w="312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3120"/>
            <w:shd w:fill="1428A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대응</w:t>
            </w:r>
          </w:p>
        </w:tc>
      </w:tr>
      <w:tr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기밀·규제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민감데이터 외부유출·규제 위반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등급매트릭스·온프레 G3·감사로그·컴플 연계</w:t>
            </w:r>
          </w:p>
        </w:tc>
      </w:tr>
      <w:tr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환각·오판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근거 없는 출력의 업무 반영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RAG 출처강제·HITL·정직성 가드</w:t>
            </w:r>
          </w:p>
        </w:tc>
      </w:tr>
      <w:tr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현업 저항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‘대체 공포’·미활용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상생 프레이밍·공동설계·챔피언·quick-win 체감</w:t>
            </w:r>
          </w:p>
        </w:tc>
      </w:tr>
      <w:tr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경계 충돌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타 팀과 R&amp;R 마찰</w:t>
            </w:r>
          </w:p>
        </w:tc>
        <w:tc>
          <w:tcPr>
            <w:tcW w:type="dxa" w:w="31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line="252"/>
            </w:pPr>
            <w:r>
              <w:rPr>
                <w:rFonts w:ascii="맑은 고딕" w:cs="맑은 고딕" w:eastAsia="맑은 고딕" w:hAnsi="맑은 고딕"/>
                <w:b w:val="function bold() { [native code] }"/>
                <w:bCs w:val="function bold() { [native code] }"/>
                <w:sz w:val="17"/>
                <w:szCs w:val="17"/>
              </w:rPr>
              <w:t xml:space="preserve">R&amp;R 기준안·인터페이스 명문화·정기 협의체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3. 성공지표(요약)</w:t>
      </w:r>
    </w:p>
    <w:p>
      <w:pPr>
        <w:pStyle w:val="ListParagraph"/>
        <w:numPr>
          <w:ilvl w:val="0"/>
          <w:numId w:val="2"/>
        </w:numPr>
        <w:spacing w:after="60" w:before="50" w:line="26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도입: 월활성 사용자·부서 커버리지·과제 수 / 효익: 리드타임 단축%·ROI·운용 기여 / 안전: 사고 0·정직성 위반 0</w:t>
      </w:r>
    </w:p>
    <w:p>
      <w:pPr>
        <w:pBdr>
          <w:bottom w:val="single" w:color="1428A0" w:sz="8" w:space="1"/>
        </w:pBdr>
        <w:spacing w:after="130"/>
      </w:pPr>
    </w:p>
    <w:p>
      <w:pPr>
        <w:spacing w:after="100" w:line="272"/>
      </w:pPr>
      <w:r>
        <w:rPr>
          <w:rFonts w:ascii="맑은 고딕" w:cs="맑은 고딕" w:eastAsia="맑은 고딕" w:hAnsi="맑은 고딕"/>
          <w:i/>
          <w:iCs/>
          <w:color w:val="5A5A5A"/>
          <w:sz w:val="17"/>
          <w:szCs w:val="17"/>
        </w:rPr>
        <w:t xml:space="preserve">본 문서는 v0.1 검토 초안이며, 타 팀장·담당임원 협의로 R&amp;R·거버넌스 경계가 확정된다. 구체 도구·벤더는 보안성 검토·PoC 결과로 대체될 수 있다.</w:t>
      </w:r>
    </w:p>
    <w:sectPr>
      <w:footerReference w:type="default" r:id="rId7"/>
      <w:pgSz w:w="12240" w:h="15840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5A5A"/>
        <w:sz w:val="15"/>
        <w:szCs w:val="15"/>
      </w:rPr>
      <w:t xml:space="preserve">AX/PI팀 출범 청사진 v0.2  ·  내부 검토용  ·  </w:t>
    </w:r>
    <w:r>
      <w:rPr>
        <w:rFonts w:ascii="맑은 고딕" w:cs="맑은 고딕" w:eastAsia="맑은 고딕" w:hAnsi="맑은 고딕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40" w:hanging="270"/>
      </w:pPr>
    </w:lvl>
    <w:lvl w:ilvl="1" w15:tentative="1">
      <w:start w:val="1"/>
      <w:numFmt w:val="bullet"/>
      <w:lvlText w:val="○"/>
      <w:lvlJc w:val="left"/>
      <w:pPr>
        <w:ind w:left="720" w:hanging="270"/>
      </w:pPr>
    </w:lvl>
    <w:lvl w:ilvl="2" w15:tentative="1">
      <w:start w:val="1"/>
      <w:numFmt w:val="bullet"/>
      <w:lvlText w:val="-"/>
      <w:lvlJc w:val="left"/>
      <w:pPr>
        <w:ind w:left="11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FB0D6" w:sz="6" w:space="3"/>
      </w:pBdr>
      <w:spacing w:after="130" w:before="220"/>
      <w:outlineLvl w:val="0"/>
    </w:pPr>
    <w:rPr>
      <w:rFonts w:ascii="맑은 고딕" w:cs="맑은 고딕" w:eastAsia="맑은 고딕" w:hAnsi="맑은 고딕"/>
      <w:b/>
      <w:bCs/>
      <w:color w:val="1428A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맑은 고딕" w:cs="맑은 고딕" w:eastAsia="맑은 고딕" w:hAnsi="맑은 고딕"/>
      <w:b/>
      <w:bCs/>
      <w:color w:val="0B1F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2026-06-24T01:37:03.001Z</dcterms:created>
  <dcterms:modified xsi:type="dcterms:W3CDTF">2026-06-24T01:37:03.002Z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