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Style w:val="5"/>
          <w:rFonts w:hint="default" w:ascii="Times New Roman" w:hAnsi="Times New Roman" w:cs="Times New Roman"/>
          <w:b/>
          <w:bCs/>
          <w:i w:val="0"/>
          <w:iCs w:val="0"/>
          <w:caps w:val="0"/>
          <w:color w:val="000000"/>
          <w:spacing w:val="0"/>
          <w:sz w:val="28"/>
          <w:szCs w:val="28"/>
          <w:bdr w:val="none" w:color="auto" w:sz="0" w:space="0"/>
          <w:shd w:val="clear" w:fill="FFFFFF"/>
          <w:lang w:val="en-US"/>
        </w:rPr>
      </w:pPr>
      <w:r>
        <w:rPr>
          <w:rStyle w:val="5"/>
          <w:rFonts w:hint="default" w:ascii="Times New Roman" w:hAnsi="Times New Roman" w:cs="Times New Roman"/>
          <w:b/>
          <w:bCs/>
          <w:i w:val="0"/>
          <w:iCs w:val="0"/>
          <w:caps w:val="0"/>
          <w:color w:val="000000"/>
          <w:spacing w:val="0"/>
          <w:sz w:val="28"/>
          <w:szCs w:val="28"/>
          <w:bdr w:val="none" w:color="auto" w:sz="0" w:space="0"/>
          <w:shd w:val="clear" w:fill="FFFFFF"/>
          <w:lang w:val="en-US"/>
        </w:rPr>
        <w:t>CHỨC NĂNG, NHIỆM VỤ CỦA PHÒNG TÀI CHÍNH - KH HUYỆN: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Style w:val="5"/>
          <w:rFonts w:hint="default" w:ascii="Times New Roman" w:hAnsi="Times New Roman" w:cs="Times New Roman"/>
          <w:b/>
          <w:bCs/>
          <w:i w:val="0"/>
          <w:iCs w:val="0"/>
          <w:caps w:val="0"/>
          <w:color w:val="000000"/>
          <w:spacing w:val="0"/>
          <w:sz w:val="28"/>
          <w:szCs w:val="28"/>
          <w:bdr w:val="none" w:color="auto" w:sz="0" w:space="0"/>
          <w:shd w:val="clear" w:fill="FFFFFF"/>
        </w:rPr>
        <w:t>II. Về lĩnh vự</w:t>
      </w:r>
      <w:bookmarkStart w:id="0" w:name="_GoBack"/>
      <w:bookmarkEnd w:id="0"/>
      <w:r>
        <w:rPr>
          <w:rStyle w:val="5"/>
          <w:rFonts w:hint="default" w:ascii="Times New Roman" w:hAnsi="Times New Roman" w:cs="Times New Roman"/>
          <w:b/>
          <w:bCs/>
          <w:i w:val="0"/>
          <w:iCs w:val="0"/>
          <w:caps w:val="0"/>
          <w:color w:val="000000"/>
          <w:spacing w:val="0"/>
          <w:sz w:val="28"/>
          <w:szCs w:val="28"/>
          <w:bdr w:val="none" w:color="auto" w:sz="0" w:space="0"/>
          <w:shd w:val="clear" w:fill="FFFFFF"/>
        </w:rPr>
        <w:t>c quy hoạch, kế hoạch và đầu tư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1. Trình Ủy ban nhân dân huyện: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a) Dự thảo các quy hoạch tổng thể phát triển kinh tế - xã hội, kế hoạch phát triển kinh tế - xã hội 5 năm và hàng năm của huyện; đề án, chương trình phát triển kinh tế - xã hội, cải cách hành chính trong lĩnh vực kế hoạch và đầu tư trên địa bàn huyện, phù hợp với quy hoạch tổng thể phát triển kinh tế - xã hội, quy hoạch ngành cấp thành phố đã được phê duyệt;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b) Dự thảo các quyết định, văn bản hướng dẫn thực hiện cơ chế, chính sách, pháp luật và các quy định của Ủy ban nhân dân huyện, Sở Kế hoạch và Đầu tư về công tác kế hoạch và đầu tư trên địa bàn.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2. Trình Chủ tịch Ủy ban nhân dân huyện các chương trình, danh mục, dự án đầu tư trên địa bàn; thẩm định và chịu trách nhiệm về dự án, kế hoạch đầu tư trên địa bàn thuộc thẩm quyền quyết định của Chủ tịch Ủy ban nhân dân huyện; thẩm định và chịu trách nhiệm về nội dung các văn bản trình Chủ tịch Ủy ban nhân dân huyện về kế hoạch lựa chọn nhà thầu đối với các dự án do Chủ tịch Ủy ban nhân dân huyện quyết định đầu tư; thẩm định hồ sơ mời quan tâm, hồ sơ mời sơ tuyển, hồ sơ mời thầu, hồ sơ yêu cầu, kết quả đánh giá hồ sơ quan tâm, kết quả đánh giá hồ sơ dự sơ tuyển, kết quả lựa chọn nhà thầu đối với các gói thầu thuộc dự án do Ủy ban nhân dân huyện là chủ đầu tư;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3. Tổ chức thực hiện các văn bản quy phạm pháp luật, cơ chế, chính sách, các quy hoạch, kế hoạch, chương trình, dự án, đề án đã được cấp có thẩm quyền phê duyệt; thông tin, tuyên truyền, phổ biến, giáo dục pháp luật về lĩnh vực kế hoạch và đầu tư trên địa bàn.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4. Cung cấp thông tin, xúc tiến đầu tư, phối hợp với các phòng chuyên môn, nghiệp vụ có liên quan tổ chức vận động các nhà đầu tư trong và ngoài nước đầu tư vào địa bàn huyện; hướng dẫn chuyên môn, nghiệp vụ cho cán bộ, công chức làm công tác kế hoạch và đầu tư cấp xã.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5. Chủ trì, phối hợp với các cơ quan có liên quan giám sát và đánh giá đầu tư; kiểm tra việc thi hành pháp luật về kế hoạch và đầu tư trên địa bàn huyện; giải quyết khiếu nại, tố cáo và xử lý vi phạm theo thẩm quyền.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6. Về doanh nghiệp, kinh tế tập thể, hợp tác xã, kinh tế tư nhân: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a) Cấp Giấy chứng nhận đăng ký kinh doanh cho các tổ chức kinh tế tập thể, hộ kinh doanh cá thể và đăng ký hợp tác xã, kinh tế tư nhân trên địa bàn theo quy định của pháp luật;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b) Tổng hợp theo dõi, đánh giá tình hình thực hiện các chương trình, kế hoạch, cơ chế, chính sách phát triển kinh tế tập thể, kinh tế tư nhân và hoạt động của doanh nghiệp, hợp tác xã, các tổ chức kinh tế tập thể, kinh tế tư nhân, trên địa bàn huyện;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c) Trực tiếp kiểm tra hộ kinh doanh theo nội dung trong hồ sơ đăng ký trên phạm vi địa bàn; phối hợp với cơ quan nhà nước có thẩm quyền kiểm tra doanh nghiệp; xác minh nội dung đăng ký doanh nghiệp, chi nhánh, văn phòng đại diện và địa điểm kinh doanh của doanh nghiệp trên phạm vi địa bàn theo yêu cầu của Phòng Đăng ký kinh doanh cấp Thành phố;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rPr>
        <w:t>d) Định kỳ lập báo cáo theo hướng dẫn của Bộ Kế hoạch và Đầu tư gửi các Sở, ngành có liên quan và Sở Kế hoạch và Đầu tư để tổng hợp báo cáo Ủy ban nhân dân Thành phố và Bộ Kế hoạch và Đầu tư.</w:t>
      </w:r>
    </w:p>
    <w:p>
      <w:pPr>
        <w:rPr>
          <w:rFonts w:hint="default" w:ascii="Times New Roman" w:hAnsi="Times New Roman" w:cs="Times New Roman"/>
          <w:sz w:val="28"/>
          <w:szCs w:val="28"/>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both"/>
        <w:rPr>
          <w:rFonts w:hint="default" w:ascii="Times New Roman" w:hAnsi="Times New Roman" w:cs="Times New Roman"/>
          <w:i w:val="0"/>
          <w:iCs w:val="0"/>
          <w:caps w:val="0"/>
          <w:color w:val="000000"/>
          <w:spacing w:val="0"/>
          <w:sz w:val="28"/>
          <w:szCs w:val="28"/>
        </w:rPr>
      </w:pPr>
      <w:r>
        <w:rPr>
          <w:rFonts w:hint="default" w:ascii="Times New Roman" w:hAnsi="Times New Roman" w:eastAsia="Tahoma" w:cs="Times New Roman"/>
          <w:b/>
          <w:bCs/>
          <w:i w:val="0"/>
          <w:iCs w:val="0"/>
          <w:caps w:val="0"/>
          <w:color w:val="800000"/>
          <w:spacing w:val="0"/>
          <w:sz w:val="28"/>
          <w:szCs w:val="28"/>
          <w:bdr w:val="none" w:color="auto" w:sz="0" w:space="0"/>
          <w:shd w:val="clear" w:fill="FFFFFF"/>
        </w:rPr>
        <w:t>CHỨC NĂNG CỦA BAN QLDA ĐẦU TƯ XÂY DỰNG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Tahoma" w:cs="Times New Roman"/>
          <w:b/>
          <w:bCs/>
          <w:i w:val="0"/>
          <w:iCs w:val="0"/>
          <w:caps w:val="0"/>
          <w:color w:val="336699"/>
          <w:spacing w:val="0"/>
          <w:sz w:val="28"/>
          <w:szCs w:val="28"/>
          <w:bdr w:val="none" w:color="auto" w:sz="0" w:space="0"/>
          <w:shd w:val="clear" w:fill="FFFFFF"/>
        </w:rPr>
        <w:t>1. Chức năng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Tahoma" w:cs="Times New Roman"/>
          <w:i w:val="0"/>
          <w:iCs w:val="0"/>
          <w:caps w:val="0"/>
          <w:color w:val="336699"/>
          <w:spacing w:val="0"/>
          <w:sz w:val="28"/>
          <w:szCs w:val="28"/>
          <w:bdr w:val="none" w:color="auto" w:sz="0" w:space="0"/>
          <w:shd w:val="clear" w:fill="FFFFFF"/>
        </w:rPr>
        <w:t>Chức năng của Ban Quản lý Dự án quy định tại Khoản 2 Điều 63 của Luật Xây dựng năm 2014, Khoản 3 Điều 17 của Nghị định số 59/2015/NĐ-CP của Chính phủ, Khoản 7 Điều 1 Nghị định số 42/2017/NĐ-CP của Chính phủ và Khoản 2 Điều 7 của Thông tư số 16/2016/TT-BXD ngày 30/6/2016 của Bộ Xây dựng, cụ thể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Tahoma" w:cs="Times New Roman"/>
          <w:i w:val="0"/>
          <w:iCs w:val="0"/>
          <w:caps w:val="0"/>
          <w:color w:val="336699"/>
          <w:spacing w:val="0"/>
          <w:sz w:val="28"/>
          <w:szCs w:val="28"/>
          <w:bdr w:val="none" w:color="auto" w:sz="0" w:space="0"/>
          <w:shd w:val="clear" w:fill="FFFFFF"/>
        </w:rPr>
        <w:t>- Làm chủ đầu tư các dự án đầu tư xây dựng thuộc lĩnh vực dân dụng và công nghiệp sử dụng vốn ngân sách, vốn Nhà nước ngoài ngân sách do Chủ tịch Uỷ ban nhân dân tỉnh quyết định đầu tư, trừ các trường hợp do Chủ tịch Uỷ ban nhân dân tỉnh quyết định giao cho cơ quan, tổ chức khác làm chủ đầu tư;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Tahoma" w:cs="Times New Roman"/>
          <w:i w:val="0"/>
          <w:iCs w:val="0"/>
          <w:caps w:val="0"/>
          <w:color w:val="336699"/>
          <w:spacing w:val="0"/>
          <w:sz w:val="28"/>
          <w:szCs w:val="28"/>
          <w:bdr w:val="none" w:color="auto" w:sz="0" w:space="0"/>
          <w:shd w:val="clear" w:fill="FFFFFF"/>
        </w:rPr>
        <w:t>- Tiếp nhận và quản lý sử dụng vốn để đầu tư xây dựng theo quy định của pháp luật;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cs="Times New Roman"/>
          <w:i w:val="0"/>
          <w:iCs w:val="0"/>
          <w:caps w:val="0"/>
          <w:color w:val="000000"/>
          <w:spacing w:val="0"/>
          <w:sz w:val="28"/>
          <w:szCs w:val="28"/>
        </w:rPr>
      </w:pPr>
      <w:r>
        <w:rPr>
          <w:rFonts w:hint="default" w:ascii="Times New Roman" w:hAnsi="Times New Roman" w:eastAsia="Tahoma" w:cs="Times New Roman"/>
          <w:i w:val="0"/>
          <w:iCs w:val="0"/>
          <w:caps w:val="0"/>
          <w:color w:val="336699"/>
          <w:spacing w:val="0"/>
          <w:sz w:val="28"/>
          <w:szCs w:val="28"/>
          <w:bdr w:val="none" w:color="auto" w:sz="0" w:space="0"/>
          <w:shd w:val="clear" w:fill="FFFFFF"/>
        </w:rPr>
        <w:t>- Thực hiện quyền, nghĩa vụ của chủ đầu tư, Ban Quản lý Dự án quy định tại Điều 68, Điều 69 của Luật Xây dựng năm 2014 và quy định của pháp luật có liên quan;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rPr>
      </w:pPr>
      <w:r>
        <w:rPr>
          <w:rFonts w:hint="default" w:ascii="Times New Roman" w:hAnsi="Times New Roman" w:eastAsia="Tahoma" w:cs="Times New Roman"/>
          <w:i w:val="0"/>
          <w:iCs w:val="0"/>
          <w:caps w:val="0"/>
          <w:color w:val="336699"/>
          <w:spacing w:val="0"/>
          <w:sz w:val="28"/>
          <w:szCs w:val="28"/>
          <w:bdr w:val="none" w:color="auto" w:sz="0" w:space="0"/>
          <w:shd w:val="clear" w:fill="FFFFFF"/>
        </w:rPr>
        <w:t>- Thực hiện các chức năng khác khi được Chủ tịch Ủy ban nhân dân tỉnh giao và tổ chức thực hiện các nhiệm vụ quản lý dự án theo quy định tại Điều 8  Thông tư số 16/2016/TT-BXD ngày 30/6/2016 của Bộ Xây dựng;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r>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t>Như vậy, với 2 chức năng một bên là quản lý, thẩm định và một bên là trình thẩm định và thực hiện, việc kiêm kiêm của Trưởng, phó phòng Tài chính - KH huyện hay Trưởng phó phòng Kinh tế - hạ tầng là không phù hợp, có thể dẫn đến tình trạng vừa đánh trống vừa thổi còi.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r>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t>Theo tìm hiểu, vẫn có tỉnh đã từng giao cho 1đồng chí phó chủ tịch UBND kiêm nhiệm chức danh Trưởng ban quản lý.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r>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t xml:space="preserve">Nhưng với cách này, việc đ/c Phó chủ tịch mà đi ký các tờ trình để đề nghị các cơ quan chuyên môn như Kinh tế - hạ tầng huyện về việc thẩm định các hồ sơ về Báo cáo kinh tế kỹ thuật, Dự toán, phòng </w:t>
      </w:r>
      <w:r>
        <w:rPr>
          <w:rFonts w:hint="default" w:ascii="Times New Roman" w:hAnsi="Times New Roman" w:eastAsia="Tahoma" w:cs="Times New Roman"/>
          <w:i w:val="0"/>
          <w:iCs w:val="0"/>
          <w:color w:val="336699"/>
          <w:spacing w:val="0"/>
          <w:sz w:val="28"/>
          <w:szCs w:val="28"/>
          <w:bdr w:val="none" w:color="auto" w:sz="0" w:space="0"/>
          <w:shd w:val="clear" w:fill="FFFFFF"/>
          <w:lang w:val="en-US"/>
        </w:rPr>
        <w:t xml:space="preserve">Tài </w:t>
      </w:r>
      <w:r>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t xml:space="preserve">chính - Kế hoạch về thẩm định Kế hoạch lựa chọn nhà thầu. Hồ sơ mời thầu…. Thì cũng hơi vướng.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r>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t>Vì vậy xin đề xuất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r>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t>Đề nghị xem xét biệt phái một đồng chí Phó chánh văn phòng ủy ban nhân huyện (Đc Định - Phó CVP UBND huyện) sang phụ trách phó ban quản lý dự án một thời gian khi chưa bổ nhiệm được đ/c Bính.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r>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t xml:space="preserve">Đó là đề xuất cá nhân.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r>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t>Việc quyết định là ở Bí thư.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pPr>
      <w:r>
        <w:rPr>
          <w:rFonts w:hint="default" w:ascii="Times New Roman" w:hAnsi="Times New Roman" w:eastAsia="Tahoma" w:cs="Times New Roman"/>
          <w:i w:val="0"/>
          <w:iCs w:val="0"/>
          <w:caps w:val="0"/>
          <w:color w:val="336699"/>
          <w:spacing w:val="0"/>
          <w:sz w:val="28"/>
          <w:szCs w:val="28"/>
          <w:bdr w:val="none" w:color="auto" w:sz="0" w:space="0"/>
          <w:shd w:val="clear" w:fill="FFFFFF"/>
          <w:lang w:val="en-US"/>
        </w:rPr>
        <w:t xml:space="preserve"> </w:t>
      </w:r>
    </w:p>
    <w:sectPr>
      <w:pgSz w:w="11906" w:h="16838"/>
      <w:pgMar w:top="1440" w:right="1306"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475036"/>
    <w:multiLevelType w:val="singleLevel"/>
    <w:tmpl w:val="BD475036"/>
    <w:lvl w:ilvl="0" w:tentative="0">
      <w:start w:val="1"/>
      <w:numFmt w:val="upperLetter"/>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93EAE"/>
    <w:rsid w:val="51F93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2021-01-11T02:18:00Z</dcterms:created>
  <dc:creator>TGDD</dc:creator>
  <cp:lastModifiedBy>TGDD</cp:lastModifiedBy>
  <dcterms:modified xsi:type="dcterms:W3CDTF">2021-01-11T02:37:48Z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