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Style w:val="5"/>
          <w:rFonts w:hint="default" w:ascii="Times New Roman" w:hAnsi="Times New Roman" w:eastAsia="sans-serif" w:cs="Times New Roman"/>
          <w:b/>
          <w:i w:val="0"/>
          <w:caps w:val="0"/>
          <w:color w:val="333333"/>
          <w:spacing w:val="0"/>
          <w:sz w:val="28"/>
          <w:szCs w:val="28"/>
          <w:bdr w:val="none" w:color="auto" w:sz="0" w:space="0"/>
          <w:shd w:val="clear" w:fill="FFFFFF"/>
        </w:rPr>
        <w:t>Căn cứ Điều 4, Quyết định số 26 /2016/QĐ-UBND, ngày 23/5/2016 của Uỷ ban nhân dân tỉnh Gia Lai, quy định một số ngành, nghề hỗ trợ đầu tư như sau:</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60" w:afterAutospacing="0" w:line="216" w:lineRule="atLeast"/>
        <w:ind w:left="0" w:right="0" w:firstLine="72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caps w:val="0"/>
          <w:color w:val="000000"/>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1. Sản xuất các sản phẩm từ cao su.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2. Sản xuất vật liệu xây dựng không nung, gạch bê tông khí chưng áp, gạch bê tông bọt.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3. Chế biến cà phê hòa tan và cà phê bột (nguyên liệu đầu vào được sản xuất theo quy trình UTZ, 4C và VietGAP).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4. Chế biến sản phẩm hồ tiêu: Tiêu hạt và tiêu bột (nguyên liệu đầu vào được sản xuất theo quy trình VietGAP).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5. Sản xuất, tinh chế thức ăn gia súc, gia cầm, thủy sản.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6. Đầu tư xây dựng khu trung tâm thương mại.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7. Đầu tư xây dựng khách sạn 5 sao; đầu tư khu nghỉ dưỡng cao cấp.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8. Đầu tư xây dựng và khai thác các khu du lịch sinh thái với quy mô từ 20 ha trở lên, các điểm du lịch văn hoá lịch sử.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9. Đầu tư xây dựng, kinh doanh kết cấu hạ tầng khu, cụm công nghiệp.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caps w:val="0"/>
          <w:color w:val="000000"/>
          <w:spacing w:val="0"/>
          <w:sz w:val="28"/>
          <w:szCs w:val="28"/>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28"/>
          <w:szCs w:val="28"/>
        </w:rPr>
      </w:pPr>
    </w:p>
    <w:p>
      <w:pPr>
        <w:rPr>
          <w:rStyle w:val="5"/>
          <w:rFonts w:hint="default" w:ascii="Times New Roman" w:hAnsi="Times New Roman" w:eastAsia="sans-serif" w:cs="Times New Roman"/>
          <w:b/>
          <w:i w:val="0"/>
          <w:caps w:val="0"/>
          <w:color w:val="333333"/>
          <w:spacing w:val="0"/>
          <w:sz w:val="28"/>
          <w:szCs w:val="28"/>
          <w:bdr w:val="none" w:color="auto" w:sz="0" w:space="0"/>
          <w:shd w:val="clear" w:fill="FFFFFF"/>
        </w:rPr>
      </w:pPr>
      <w:r>
        <w:rPr>
          <w:rStyle w:val="5"/>
          <w:rFonts w:hint="default" w:ascii="Times New Roman" w:hAnsi="Times New Roman" w:eastAsia="sans-serif" w:cs="Times New Roman"/>
          <w:b/>
          <w:i w:val="0"/>
          <w:caps w:val="0"/>
          <w:color w:val="333333"/>
          <w:spacing w:val="0"/>
          <w:sz w:val="28"/>
          <w:szCs w:val="28"/>
          <w:bdr w:val="none" w:color="auto" w:sz="0" w:space="0"/>
          <w:shd w:val="clear" w:fill="FFFFFF"/>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Style w:val="5"/>
          <w:rFonts w:hint="default" w:ascii="Times New Roman" w:hAnsi="Times New Roman" w:eastAsia="sans-serif" w:cs="Times New Roman"/>
          <w:b/>
          <w:i w:val="0"/>
          <w:caps w:val="0"/>
          <w:color w:val="333333"/>
          <w:spacing w:val="0"/>
          <w:sz w:val="28"/>
          <w:szCs w:val="28"/>
          <w:bdr w:val="none" w:color="auto" w:sz="0" w:space="0"/>
          <w:shd w:val="clear" w:fill="FFFFFF"/>
        </w:rPr>
        <w:t>Căn cứ Điều 5, Điều 6, Điều 7, Quyết định số 26 /2016/QĐ-UBND, ngày 23/5/2016 của Uỷ ban nhân dân tỉnh Gia Lai, quy định chính sách hỗ trợ ưu đãi đầu tư như sau:</w:t>
      </w: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Times New Roman" w:hAnsi="Times New Roman" w:cs="Times New Roman"/>
          <w:sz w:val="28"/>
          <w:szCs w:val="28"/>
        </w:rPr>
      </w:pPr>
      <w:r>
        <w:rPr>
          <w:rStyle w:val="5"/>
          <w:rFonts w:hint="default" w:ascii="Times New Roman" w:hAnsi="Times New Roman" w:eastAsia="sans-serif" w:cs="Times New Roman"/>
          <w:b/>
          <w:i w:val="0"/>
          <w:caps w:val="0"/>
          <w:color w:val="000000"/>
          <w:spacing w:val="0"/>
          <w:sz w:val="28"/>
          <w:szCs w:val="28"/>
          <w:bdr w:val="none" w:color="auto" w:sz="0" w:space="0"/>
          <w:shd w:val="clear" w:fill="FFFFFF"/>
        </w:rPr>
        <w:t>Chính sách hỗ trợ về san lấp mặt bằng, rà phá bom mìn, hạ tầng kỹ thuật đối với các dự án thuộc ngành, nghề hỗ trợ đầu tư.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1. Đối với các dự án đầu tư ngoài các khu kinh tế, khu công nghiệp, cụm công nghiệp.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a) Hỗ trợ xây dựng cơ sở hạ tầng, kỹ thuật ngoài hàng rào dự án (đường giao thông, cấp điện, cấp nước):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 Ngân sách tỉnh hỗ trợ 50% kinh phí đầu tư đối với các hạng mục đầu tư hạ tầng, kỹ thuật gắn với hoạt động dân sinh, nhưng tối đa không quá 01 tỷ đồng/01 dự án.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 Ngân sách tỉnh hỗ trợ 30% kinh phí đầu tư đối với các hạng mục đầu tư hạ tầng, kỹ thuật không gắn với hoạt động dân sinh, nhưng tối đa không quá 500 triệu đồng/01 dự án.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b) Hỗ trợ san lấp mặt bằng và rà phá bom mìn: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Ngân sách tỉnh hỗ trợ 50% kinh phí san lấp mặt bằng và rà phá bom mìn nhưng tối đa không quá 500 triệu đồng/01 dự án.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2. Đối với các dự án đầu tư xây dựng, kinh doanh kết cấu hạ tầng khu, cụm công nghiệp: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Ngân sách tỉnh hỗ trợ 50% kinh phí san lấp mặt bằng và rà phá bom mìn cho nhà đầu tư nhưng tối đa không quá 01 tỷ đồng/01 dự án.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3. Đối với các dự án có quy mô đầu tư từ 30 tỷ đồng trở lên, nằm trong các khu, cụm công nghiệp đã được phê duyệt: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Ngân sách tỉnh hỗ trợ 30% kinh phí san lấp mặt bằng và rà phá bom mìn cho nhà đầu tư nhưng tối đa không quá 300 triệu đồng/01 dự án.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Times New Roman" w:hAnsi="Times New Roman" w:cs="Times New Roman"/>
          <w:sz w:val="28"/>
          <w:szCs w:val="28"/>
        </w:rPr>
      </w:pPr>
      <w:r>
        <w:rPr>
          <w:rStyle w:val="5"/>
          <w:rFonts w:hint="default" w:ascii="Times New Roman" w:hAnsi="Times New Roman" w:eastAsia="sans-serif" w:cs="Times New Roman"/>
          <w:b/>
          <w:i w:val="0"/>
          <w:caps w:val="0"/>
          <w:color w:val="auto"/>
          <w:spacing w:val="0"/>
          <w:sz w:val="28"/>
          <w:szCs w:val="28"/>
          <w:bdr w:val="none" w:color="auto" w:sz="0" w:space="0"/>
          <w:shd w:val="clear" w:fill="FFFFFF"/>
        </w:rPr>
        <w:t>Hỗ trợ chi phí lập dự án đầu tư và chi phí lập báo cáo đánh giá tác động môi trường đối với các dự án thuộc ngành, nghề hỗ trợ đầu tư.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auto"/>
          <w:spacing w:val="0"/>
          <w:sz w:val="28"/>
          <w:szCs w:val="28"/>
          <w:bdr w:val="none" w:color="auto" w:sz="0" w:space="0"/>
          <w:shd w:val="clear" w:fill="FFFFFF"/>
        </w:rPr>
        <w:t>Hỗ trợ 30% chi phí lập dự án đầu tư, chi phí lập báo cáo đánh giá tác động môi trường, nhưng tối đa không quá 200 triệu đồng/01 dự án (theo quy định hiện hành của nhà nước về định mức, chi phí lập dự án, lập báo cáo đánh giá tác động môi trường).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Times New Roman" w:hAnsi="Times New Roman" w:cs="Times New Roman"/>
          <w:sz w:val="28"/>
          <w:szCs w:val="28"/>
        </w:rPr>
      </w:pPr>
      <w:r>
        <w:rPr>
          <w:rStyle w:val="5"/>
          <w:rFonts w:hint="default" w:ascii="Times New Roman" w:hAnsi="Times New Roman" w:eastAsia="sans-serif" w:cs="Times New Roman"/>
          <w:b/>
          <w:i w:val="0"/>
          <w:caps w:val="0"/>
          <w:color w:val="000000"/>
          <w:spacing w:val="0"/>
          <w:sz w:val="28"/>
          <w:szCs w:val="28"/>
          <w:bdr w:val="none" w:color="auto" w:sz="0" w:space="0"/>
          <w:shd w:val="clear" w:fill="FFFFFF"/>
        </w:rPr>
        <w:t>Hỗ trợ kinh phí tham gia triển lãm, chợ công nghệ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Ngân sách tỉnh hỗ trợ kinh phí 01 lần/1 năm cho mỗi doanh nghiệp có dự án đầu tư trên địa bàn tỉnh tham gia các cuộc triển lãm, chợ công nghệ ở trong nước và nước ngoài sau khi được UBND tỉnh có văn bản chấp thuận, doanh nghiệp phải đảm bảo có thuê gian hàng, có hàng hoá, sản phẩm do doanh nghiệp sản xuất, kinh doanh mang theo để trưng bày, giới thiệu theo đúng quy định của triển lãm, chợ công nghệ với các mức sau: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 Hỗ trợ đến 30 triệu đồng cho doanh nghiệp tham gia triển lãm, chợ công nghệ ở</w:t>
      </w:r>
      <w:bookmarkStart w:id="0" w:name="_GoBack"/>
      <w:bookmarkEnd w:id="0"/>
      <w:r>
        <w:rPr>
          <w:rFonts w:hint="default" w:ascii="Times New Roman" w:hAnsi="Times New Roman" w:eastAsia="sans-serif" w:cs="Times New Roman"/>
          <w:i w:val="0"/>
          <w:caps w:val="0"/>
          <w:color w:val="333333"/>
          <w:spacing w:val="0"/>
          <w:sz w:val="28"/>
          <w:szCs w:val="28"/>
          <w:bdr w:val="none" w:color="auto" w:sz="0" w:space="0"/>
          <w:shd w:val="clear" w:fill="FFFFFF"/>
        </w:rPr>
        <w:t xml:space="preserve"> trong nước;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 Hỗ trợ đến 50 triệu đồng cho doanh nghiệp tham gia triển lãm, chợ công nghệ tại các nước thuộc khu vực châu 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color w:val="333333"/>
          <w:sz w:val="15"/>
          <w:szCs w:val="15"/>
        </w:rPr>
      </w:pPr>
      <w:r>
        <w:rPr>
          <w:rFonts w:hint="default" w:ascii="Times New Roman" w:hAnsi="Times New Roman" w:eastAsia="sans-serif" w:cs="Times New Roman"/>
          <w:i w:val="0"/>
          <w:caps w:val="0"/>
          <w:color w:val="333333"/>
          <w:spacing w:val="0"/>
          <w:sz w:val="28"/>
          <w:szCs w:val="28"/>
          <w:bdr w:val="none" w:color="auto" w:sz="0" w:space="0"/>
          <w:shd w:val="clear" w:fill="FFFFFF"/>
        </w:rPr>
        <w:t>- Hỗ trợ đến 80 triệu đồng cho doanh nghiệp tham gia triển lãm, chợ công nghệ tại các nước ngoài khu vực châu Á</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sans-serif" w:cs="Times New Roman"/>
          <w:i w:val="0"/>
          <w:caps w:val="0"/>
          <w:color w:val="000000"/>
          <w:spacing w:val="0"/>
          <w:sz w:val="28"/>
          <w:szCs w:val="28"/>
        </w:rPr>
      </w:pPr>
      <w:r>
        <w:rPr>
          <w:rFonts w:hint="default" w:ascii="Times New Roman" w:hAnsi="Times New Roman" w:eastAsia="sans-serif" w:cs="Times New Roman"/>
          <w:b/>
          <w:i w:val="0"/>
          <w:caps/>
          <w:color w:val="249F29"/>
          <w:spacing w:val="0"/>
          <w:sz w:val="28"/>
          <w:szCs w:val="28"/>
          <w:u w:val="none"/>
          <w:bdr w:val="none" w:color="auto" w:sz="0" w:space="0"/>
          <w:shd w:val="clear" w:fill="FFFFFF"/>
        </w:rPr>
        <w:t>NGUYÊN TẮC ÁP DỤNG CHÍNH SÁCH HỖ TRỢ ĐẦU TƯ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caps w:val="0"/>
          <w:color w:val="000000"/>
          <w:spacing w:val="0"/>
          <w:sz w:val="28"/>
          <w:szCs w:val="28"/>
        </w:rPr>
      </w:pPr>
      <w:r>
        <w:rPr>
          <w:rFonts w:hint="default" w:ascii="Times New Roman" w:hAnsi="Times New Roman" w:eastAsia="sans-serif" w:cs="Times New Roman"/>
          <w:i w:val="0"/>
          <w:caps w:val="0"/>
          <w:color w:val="999999"/>
          <w:spacing w:val="0"/>
          <w:kern w:val="0"/>
          <w:sz w:val="28"/>
          <w:szCs w:val="28"/>
          <w:bdr w:val="none" w:color="auto" w:sz="0" w:space="0"/>
          <w:shd w:val="clear" w:fill="FFFFFF"/>
          <w:lang w:val="en-US" w:eastAsia="zh-CN" w:bidi="ar"/>
        </w:rPr>
        <w:t>Ngày đăng: 23-05-2016, 11:00</w:t>
      </w:r>
      <w:r>
        <w:rPr>
          <w:rFonts w:hint="default" w:ascii="Times New Roman" w:hAnsi="Times New Roman" w:eastAsia="sans-serif" w:cs="Times New Roman"/>
          <w:i w:val="0"/>
          <w:caps w:val="0"/>
          <w:color w:val="000000"/>
          <w:spacing w:val="0"/>
          <w:kern w:val="0"/>
          <w:sz w:val="28"/>
          <w:szCs w:val="28"/>
          <w:bdr w:val="none" w:color="auto" w:sz="0" w:space="0"/>
          <w:shd w:val="clear" w:fill="FFFFFF"/>
          <w:lang w:val="en-US" w:eastAsia="zh-CN" w:bidi="ar"/>
        </w:rPr>
        <w:t>  </w:t>
      </w:r>
      <w:r>
        <w:rPr>
          <w:rFonts w:hint="default" w:ascii="Times New Roman" w:hAnsi="Times New Roman" w:eastAsia="sans-serif" w:cs="Times New Roman"/>
          <w:i w:val="0"/>
          <w:caps w:val="0"/>
          <w:color w:val="999999"/>
          <w:spacing w:val="0"/>
          <w:kern w:val="0"/>
          <w:sz w:val="28"/>
          <w:szCs w:val="28"/>
          <w:bdr w:val="none" w:color="auto" w:sz="0" w:space="0"/>
          <w:shd w:val="clear" w:fill="FFFFFF"/>
          <w:lang w:val="en-US" w:eastAsia="zh-CN" w:bidi="ar"/>
        </w:rPr>
        <w:t>- Lượt truy cập: 675</w:t>
      </w:r>
      <w:r>
        <w:rPr>
          <w:rFonts w:hint="default" w:ascii="Times New Roman" w:hAnsi="Times New Roman" w:eastAsia="sans-serif" w:cs="Times New Roman"/>
          <w:i w:val="0"/>
          <w:caps w:val="0"/>
          <w:color w:val="000000"/>
          <w:spacing w:val="0"/>
          <w:kern w:val="0"/>
          <w:sz w:val="28"/>
          <w:szCs w:val="28"/>
          <w:bdr w:val="none" w:color="auto" w:sz="0" w:space="0"/>
          <w:shd w:val="clear" w:fill="FFFFFF"/>
          <w:lang w:val="en-US" w:eastAsia="zh-CN" w:bidi="ar"/>
        </w:rPr>
        <w:t> </w:t>
      </w:r>
      <w:r>
        <w:rPr>
          <w:rFonts w:hint="default" w:ascii="Times New Roman" w:hAnsi="Times New Roman" w:eastAsia="fontawesome" w:cs="Times New Roman"/>
          <w:i w:val="0"/>
          <w:caps w:val="0"/>
          <w:color w:val="3B5998"/>
          <w:spacing w:val="0"/>
          <w:kern w:val="0"/>
          <w:sz w:val="28"/>
          <w:szCs w:val="28"/>
          <w:u w:val="none"/>
          <w:bdr w:val="none" w:color="auto" w:sz="0" w:space="0"/>
          <w:shd w:val="clear" w:fill="FFFFFF"/>
          <w:lang w:val="en-US" w:eastAsia="zh-CN" w:bidi="ar"/>
        </w:rPr>
        <w:fldChar w:fldCharType="begin"/>
      </w:r>
      <w:r>
        <w:rPr>
          <w:rFonts w:hint="default" w:ascii="Times New Roman" w:hAnsi="Times New Roman" w:eastAsia="fontawesome" w:cs="Times New Roman"/>
          <w:i w:val="0"/>
          <w:caps w:val="0"/>
          <w:color w:val="3B5998"/>
          <w:spacing w:val="0"/>
          <w:kern w:val="0"/>
          <w:sz w:val="28"/>
          <w:szCs w:val="28"/>
          <w:u w:val="none"/>
          <w:bdr w:val="none" w:color="auto" w:sz="0" w:space="0"/>
          <w:shd w:val="clear" w:fill="FFFFFF"/>
          <w:lang w:val="en-US" w:eastAsia="zh-CN" w:bidi="ar"/>
        </w:rPr>
        <w:instrText xml:space="preserve"> HYPERLINK "https://www.facebook.com/sharer.php?u=http://gialai.gov.vn/tin-tuc/nguyen-tac-ap-dung-chinh-sach-ho-tro-dau-tu.16926.aspx" \t "https://gialai.gov.vn/tin-tuc/_blank" </w:instrText>
      </w:r>
      <w:r>
        <w:rPr>
          <w:rFonts w:hint="default" w:ascii="Times New Roman" w:hAnsi="Times New Roman" w:eastAsia="fontawesome" w:cs="Times New Roman"/>
          <w:i w:val="0"/>
          <w:caps w:val="0"/>
          <w:color w:val="3B5998"/>
          <w:spacing w:val="0"/>
          <w:kern w:val="0"/>
          <w:sz w:val="28"/>
          <w:szCs w:val="28"/>
          <w:u w:val="none"/>
          <w:bdr w:val="none" w:color="auto" w:sz="0" w:space="0"/>
          <w:shd w:val="clear" w:fill="FFFFFF"/>
          <w:lang w:val="en-US" w:eastAsia="zh-CN" w:bidi="ar"/>
        </w:rPr>
        <w:fldChar w:fldCharType="separate"/>
      </w:r>
      <w:r>
        <w:rPr>
          <w:rFonts w:hint="default" w:ascii="Times New Roman" w:hAnsi="Times New Roman" w:eastAsia="fontawesome" w:cs="Times New Roman"/>
          <w:i w:val="0"/>
          <w:caps w:val="0"/>
          <w:color w:val="3B5998"/>
          <w:spacing w:val="0"/>
          <w:kern w:val="0"/>
          <w:sz w:val="28"/>
          <w:szCs w:val="28"/>
          <w:u w:val="none"/>
          <w:bdr w:val="none" w:color="auto" w:sz="0" w:space="0"/>
          <w:shd w:val="clear" w:fill="FFFFFF"/>
          <w:lang w:val="en-US" w:eastAsia="zh-CN" w:bidi="ar"/>
        </w:rPr>
        <w:fldChar w:fldCharType="end"/>
      </w:r>
      <w:r>
        <w:rPr>
          <w:rFonts w:hint="default" w:ascii="Times New Roman" w:hAnsi="Times New Roman" w:eastAsia="sans-serif" w:cs="Times New Roman"/>
          <w:i w:val="0"/>
          <w:caps w:val="0"/>
          <w:color w:val="000000"/>
          <w:spacing w:val="0"/>
          <w:kern w:val="0"/>
          <w:sz w:val="28"/>
          <w:szCs w:val="28"/>
          <w:bdr w:val="none" w:color="auto" w:sz="0" w:space="0"/>
          <w:shd w:val="clear" w:fill="FFFFFF"/>
          <w:lang w:val="en-US" w:eastAsia="zh-CN" w:bidi="ar"/>
        </w:rPr>
        <w:t> </w:t>
      </w:r>
      <w:r>
        <w:rPr>
          <w:rFonts w:hint="default" w:ascii="Times New Roman" w:hAnsi="Times New Roman" w:eastAsia="fontawesome" w:cs="Times New Roman"/>
          <w:i w:val="0"/>
          <w:caps w:val="0"/>
          <w:color w:val="FF0000"/>
          <w:spacing w:val="0"/>
          <w:kern w:val="0"/>
          <w:sz w:val="28"/>
          <w:szCs w:val="28"/>
          <w:u w:val="none"/>
          <w:bdr w:val="none" w:color="auto" w:sz="0" w:space="0"/>
          <w:shd w:val="clear" w:fill="FFFFFF"/>
          <w:lang w:val="en-US" w:eastAsia="zh-CN" w:bidi="ar"/>
        </w:rPr>
        <w:fldChar w:fldCharType="begin"/>
      </w:r>
      <w:r>
        <w:rPr>
          <w:rFonts w:hint="default" w:ascii="Times New Roman" w:hAnsi="Times New Roman" w:eastAsia="fontawesome" w:cs="Times New Roman"/>
          <w:i w:val="0"/>
          <w:caps w:val="0"/>
          <w:color w:val="FF0000"/>
          <w:spacing w:val="0"/>
          <w:kern w:val="0"/>
          <w:sz w:val="28"/>
          <w:szCs w:val="28"/>
          <w:u w:val="none"/>
          <w:bdr w:val="none" w:color="auto" w:sz="0" w:space="0"/>
          <w:shd w:val="clear" w:fill="FFFFFF"/>
          <w:lang w:val="en-US" w:eastAsia="zh-CN" w:bidi="ar"/>
        </w:rPr>
        <w:instrText xml:space="preserve"> HYPERLINK "https://plus.google.com/share?url=http://gialai.gov.vn/tin-tuc/nguyen-tac-ap-dung-chinh-sach-ho-tro-dau-tu.16926.aspx" \t "https://gialai.gov.vn/tin-tuc/_blank" </w:instrText>
      </w:r>
      <w:r>
        <w:rPr>
          <w:rFonts w:hint="default" w:ascii="Times New Roman" w:hAnsi="Times New Roman" w:eastAsia="fontawesome" w:cs="Times New Roman"/>
          <w:i w:val="0"/>
          <w:caps w:val="0"/>
          <w:color w:val="FF0000"/>
          <w:spacing w:val="0"/>
          <w:kern w:val="0"/>
          <w:sz w:val="28"/>
          <w:szCs w:val="28"/>
          <w:u w:val="none"/>
          <w:bdr w:val="none" w:color="auto" w:sz="0" w:space="0"/>
          <w:shd w:val="clear" w:fill="FFFFFF"/>
          <w:lang w:val="en-US" w:eastAsia="zh-CN" w:bidi="ar"/>
        </w:rPr>
        <w:fldChar w:fldCharType="separate"/>
      </w:r>
      <w:r>
        <w:rPr>
          <w:rFonts w:hint="default" w:ascii="Times New Roman" w:hAnsi="Times New Roman" w:eastAsia="fontawesome" w:cs="Times New Roman"/>
          <w:i w:val="0"/>
          <w:caps w:val="0"/>
          <w:color w:val="FF0000"/>
          <w:spacing w:val="0"/>
          <w:kern w:val="0"/>
          <w:sz w:val="28"/>
          <w:szCs w:val="28"/>
          <w:u w:val="none"/>
          <w:bdr w:val="none" w:color="auto" w:sz="0" w:space="0"/>
          <w:shd w:val="clear" w:fill="FFFFFF"/>
          <w:lang w:val="en-US" w:eastAsia="zh-CN" w:bidi="ar"/>
        </w:rPr>
        <w:fldChar w:fldCharType="end"/>
      </w:r>
      <w:r>
        <w:rPr>
          <w:rFonts w:hint="default" w:ascii="Times New Roman" w:hAnsi="Times New Roman" w:eastAsia="sans-serif" w:cs="Times New Roman"/>
          <w:i w:val="0"/>
          <w:caps w:val="0"/>
          <w:color w:val="000000"/>
          <w:spacing w:val="0"/>
          <w:kern w:val="0"/>
          <w:sz w:val="28"/>
          <w:szCs w:val="28"/>
          <w:bdr w:val="none" w:color="auto" w:sz="0" w:space="0"/>
          <w:shd w:val="clear" w:fill="FFFFFF"/>
          <w:lang w:val="en-US" w:eastAsia="zh-CN" w:bidi="ar"/>
        </w:rPr>
        <w:t> </w:t>
      </w:r>
      <w:r>
        <w:rPr>
          <w:rFonts w:hint="default" w:ascii="Times New Roman" w:hAnsi="Times New Roman" w:eastAsia="fontawesome" w:cs="Times New Roman"/>
          <w:i w:val="0"/>
          <w:caps w:val="0"/>
          <w:color w:val="02CFFE"/>
          <w:spacing w:val="0"/>
          <w:kern w:val="0"/>
          <w:sz w:val="28"/>
          <w:szCs w:val="28"/>
          <w:u w:val="none"/>
          <w:bdr w:val="none" w:color="auto" w:sz="0" w:space="0"/>
          <w:shd w:val="clear" w:fill="FFFFFF"/>
          <w:lang w:val="en-US" w:eastAsia="zh-CN" w:bidi="ar"/>
        </w:rPr>
        <w:fldChar w:fldCharType="begin"/>
      </w:r>
      <w:r>
        <w:rPr>
          <w:rFonts w:hint="default" w:ascii="Times New Roman" w:hAnsi="Times New Roman" w:eastAsia="fontawesome" w:cs="Times New Roman"/>
          <w:i w:val="0"/>
          <w:caps w:val="0"/>
          <w:color w:val="02CFFE"/>
          <w:spacing w:val="0"/>
          <w:kern w:val="0"/>
          <w:sz w:val="28"/>
          <w:szCs w:val="28"/>
          <w:u w:val="none"/>
          <w:bdr w:val="none" w:color="auto" w:sz="0" w:space="0"/>
          <w:shd w:val="clear" w:fill="FFFFFF"/>
          <w:lang w:val="en-US" w:eastAsia="zh-CN" w:bidi="ar"/>
        </w:rPr>
        <w:instrText xml:space="preserve"> HYPERLINK "https://twitter.com/intent/tweet?url=http://gialai.gov.vn/tin-tuc/nguyen-tac-ap-dung-chinh-sach-ho-tro-dau-tu.16926.aspx" \t "https://gialai.gov.vn/tin-tuc/_blank" </w:instrText>
      </w:r>
      <w:r>
        <w:rPr>
          <w:rFonts w:hint="default" w:ascii="Times New Roman" w:hAnsi="Times New Roman" w:eastAsia="fontawesome" w:cs="Times New Roman"/>
          <w:i w:val="0"/>
          <w:caps w:val="0"/>
          <w:color w:val="02CFFE"/>
          <w:spacing w:val="0"/>
          <w:kern w:val="0"/>
          <w:sz w:val="28"/>
          <w:szCs w:val="28"/>
          <w:u w:val="none"/>
          <w:bdr w:val="none" w:color="auto" w:sz="0" w:space="0"/>
          <w:shd w:val="clear" w:fill="FFFFFF"/>
          <w:lang w:val="en-US" w:eastAsia="zh-CN" w:bidi="ar"/>
        </w:rPr>
        <w:fldChar w:fldCharType="separate"/>
      </w:r>
      <w:r>
        <w:rPr>
          <w:rFonts w:hint="default" w:ascii="Times New Roman" w:hAnsi="Times New Roman" w:eastAsia="fontawesome" w:cs="Times New Roman"/>
          <w:i w:val="0"/>
          <w:caps w:val="0"/>
          <w:color w:val="02CFFE"/>
          <w:spacing w:val="0"/>
          <w:kern w:val="0"/>
          <w:sz w:val="28"/>
          <w:szCs w:val="28"/>
          <w:u w:val="none"/>
          <w:bdr w:val="none" w:color="auto" w:sz="0" w:space="0"/>
          <w:shd w:val="clear" w:fill="FFFFFF"/>
          <w:lang w:val="en-US" w:eastAsia="zh-CN" w:bidi="ar"/>
        </w:rPr>
        <w:fldChar w:fldCharType="end"/>
      </w:r>
      <w:r>
        <w:rPr>
          <w:rFonts w:hint="default" w:ascii="Times New Roman" w:hAnsi="Times New Roman" w:eastAsia="sans-serif" w:cs="Times New Roman"/>
          <w:i w:val="0"/>
          <w:caps w:val="0"/>
          <w:color w:val="000000"/>
          <w:spacing w:val="0"/>
          <w:kern w:val="0"/>
          <w:sz w:val="28"/>
          <w:szCs w:val="28"/>
          <w:bdr w:val="none" w:color="auto" w:sz="0" w:space="0"/>
          <w:shd w:val="clear" w:fill="FFFFFF"/>
          <w:lang w:val="en-US" w:eastAsia="zh-CN" w:bidi="ar"/>
        </w:rPr>
        <w:t> </w:t>
      </w:r>
      <w:r>
        <w:rPr>
          <w:rFonts w:hint="default" w:ascii="Times New Roman" w:hAnsi="Times New Roman" w:eastAsia="fontawesome" w:cs="Times New Roman"/>
          <w:i w:val="0"/>
          <w:caps w:val="0"/>
          <w:color w:val="663399"/>
          <w:spacing w:val="0"/>
          <w:kern w:val="0"/>
          <w:sz w:val="28"/>
          <w:szCs w:val="28"/>
          <w:u w:val="none"/>
          <w:bdr w:val="none" w:color="auto" w:sz="0" w:space="0"/>
          <w:shd w:val="clear" w:fill="FFFFFF"/>
          <w:lang w:val="en-US" w:eastAsia="zh-CN" w:bidi="ar"/>
        </w:rPr>
        <w:fldChar w:fldCharType="begin"/>
      </w:r>
      <w:r>
        <w:rPr>
          <w:rFonts w:hint="default" w:ascii="Times New Roman" w:hAnsi="Times New Roman" w:eastAsia="fontawesome" w:cs="Times New Roman"/>
          <w:i w:val="0"/>
          <w:caps w:val="0"/>
          <w:color w:val="663399"/>
          <w:spacing w:val="0"/>
          <w:kern w:val="0"/>
          <w:sz w:val="28"/>
          <w:szCs w:val="28"/>
          <w:u w:val="none"/>
          <w:bdr w:val="none" w:color="auto" w:sz="0" w:space="0"/>
          <w:shd w:val="clear" w:fill="FFFFFF"/>
          <w:lang w:val="en-US" w:eastAsia="zh-CN" w:bidi="ar"/>
        </w:rPr>
        <w:instrText xml:space="preserve"> HYPERLINK "https://gialai.gov.vn/tin-tuc/javascript:PrintElem()" </w:instrText>
      </w:r>
      <w:r>
        <w:rPr>
          <w:rFonts w:hint="default" w:ascii="Times New Roman" w:hAnsi="Times New Roman" w:eastAsia="fontawesome" w:cs="Times New Roman"/>
          <w:i w:val="0"/>
          <w:caps w:val="0"/>
          <w:color w:val="663399"/>
          <w:spacing w:val="0"/>
          <w:kern w:val="0"/>
          <w:sz w:val="28"/>
          <w:szCs w:val="28"/>
          <w:u w:val="none"/>
          <w:bdr w:val="none" w:color="auto" w:sz="0" w:space="0"/>
          <w:shd w:val="clear" w:fill="FFFFFF"/>
          <w:lang w:val="en-US" w:eastAsia="zh-CN" w:bidi="ar"/>
        </w:rPr>
        <w:fldChar w:fldCharType="separate"/>
      </w:r>
      <w:r>
        <w:rPr>
          <w:rFonts w:hint="default" w:ascii="Times New Roman" w:hAnsi="Times New Roman" w:eastAsia="fontawesome" w:cs="Times New Roman"/>
          <w:i w:val="0"/>
          <w:caps w:val="0"/>
          <w:color w:val="663399"/>
          <w:spacing w:val="0"/>
          <w:kern w:val="0"/>
          <w:sz w:val="28"/>
          <w:szCs w:val="28"/>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Căn cứ Điều 8, Quyết định số 26 /2016/QĐ-UBND, ngày 23/5/2016 của Uỷ ban nhân dân tỉnh Gia Lai về nguyên tắc áp dụng chính sách hỗ trợ đầu tư như sau: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caps w:val="0"/>
          <w:color w:val="000000"/>
          <w:spacing w:val="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1. Nhà đầu tư được hưởng chính sách hỗ trợ đầu tư theo quy định tại Điều 5 và Điều 6 Quy định này khi đáp ứng các điều kiện sau: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a) Có dự án đầu tư thuộc ngành, nghề hỗ trợ đầu tư tại Điều 4 Quy định này;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b) Thực hiện các nội dung tại Điều 2 Quy định này.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2. Mỗi dự án đầu tư chỉ được hưởng 01 lần các chính sách hỗ trợ đầu tư theo Quy định này.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16" w:lineRule="atLeast"/>
        <w:ind w:left="0" w:right="0"/>
        <w:jc w:val="both"/>
        <w:rPr>
          <w:rFonts w:hint="default" w:ascii="Times New Roman" w:hAnsi="Times New Roman" w:cs="Times New Roman"/>
          <w:color w:val="333333"/>
          <w:sz w:val="28"/>
          <w:szCs w:val="28"/>
        </w:rPr>
      </w:pPr>
      <w:r>
        <w:rPr>
          <w:rFonts w:hint="default" w:ascii="Times New Roman" w:hAnsi="Times New Roman" w:eastAsia="sans-serif" w:cs="Times New Roman"/>
          <w:i w:val="0"/>
          <w:caps w:val="0"/>
          <w:color w:val="333333"/>
          <w:spacing w:val="0"/>
          <w:sz w:val="28"/>
          <w:szCs w:val="28"/>
          <w:bdr w:val="none" w:color="auto" w:sz="0" w:space="0"/>
          <w:shd w:val="clear" w:fill="FFFFFF"/>
        </w:rPr>
        <w:t>3. Trường hợp cùng một thời điểm, dự án đủ điều kiện để hưởng nhiều chính sách hỗ trợ đầu tư khác nhau, nhà đầu tư được lựa chọn mức hỗ trợ cao nhất.</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fontaweso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5396FD"/>
    <w:multiLevelType w:val="multilevel"/>
    <w:tmpl w:val="B75396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11A2CB1"/>
    <w:multiLevelType w:val="multilevel"/>
    <w:tmpl w:val="F11A2C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997DA60"/>
    <w:multiLevelType w:val="multilevel"/>
    <w:tmpl w:val="2997DA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60CF38C"/>
    <w:multiLevelType w:val="multilevel"/>
    <w:tmpl w:val="760CF3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6C6722"/>
    <w:rsid w:val="206C6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2020-12-02T13:40:00Z</dcterms:created>
  <dc:creator>TGDD</dc:creator>
  <cp:lastModifiedBy>TGDD</cp:lastModifiedBy>
  <dcterms:modified xsi:type="dcterms:W3CDTF">2020-12-02T14:10:36Z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