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803" w:firstLineChars="4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bookmarkStart w:id="0" w:name="_GoBack"/>
      <w:r>
        <w:rPr>
          <w:rFonts w:hint="default"/>
          <w:b/>
          <w:bCs/>
          <w:lang w:val="vi-VN"/>
        </w:rPr>
        <w:t>-</w:t>
      </w:r>
      <w:bookmarkEnd w:id="0"/>
      <w:r>
        <w:rPr>
          <w:rFonts w:hint="default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Tập đoàn Lộc Trời - Phát triển lĩnh vực nông nghiệp công nghệ cao.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TNHH Tuệ Minh Hà Nội - Nhà máy chế biến dược liệu và nông sản Tây nguyên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Cổ phần quản lý, đầu tư và phát triển BĐS A Rich Land. -  Trung tâm thương mại huyện.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bất động sản Phúc Khang Điền. -  Phát triển lĩnh vực nông nghiệp công nghệ cao.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TNHH MTV xuất nhập khẩu rau quả Doveco Gia Lai-Nhà máy sản xuất bao bì và trung tâm kiểm nghiệm chất lượng sản phẩm.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TNHH Yến sào Tiên Sa Đà Nẵng - Dự án Nhà máy xử lý rác thải huyện Mang Yang.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Tạp chí Việt Nam Hội nhập cớ quan đại diện miền Trung - Tây nguyên - Giúp truyền thông cho huyện nhà.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Cổ phần Sea Tek Việt Nam- Xây dựng chợ và Trung tâm thương mại huyện.</w:t>
      </w:r>
    </w:p>
    <w:p>
      <w:pPr>
        <w:shd w:val="clear" w:color="auto" w:fill="FFFFFF"/>
        <w:spacing w:before="120" w:after="0" w:line="240" w:lineRule="auto"/>
        <w:ind w:left="420" w:leftChars="0" w:firstLine="42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vi-VN"/>
        </w:rPr>
        <w:t>- Công ty Cổ phần Tập đoàn Tài chính Sao Mai Hà Nội.- Dự án Hòn Đá Trãi Kết hợp với du lịch cộng đồng làng văn hóa truyền thống dân tộc</w:t>
      </w:r>
    </w:p>
    <w:p>
      <w:pPr>
        <w:ind w:left="0" w:leftChars="0" w:firstLine="840" w:firstLineChars="300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201E4"/>
    <w:rsid w:val="49B2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2020-12-25T09:17:00Z</dcterms:created>
  <dc:creator>TGDD</dc:creator>
  <cp:lastModifiedBy>TGDD</cp:lastModifiedBy>
  <cp:lastPrinted>2020-12-25T09:33:10Z</cp:lastPrinted>
  <dcterms:modified xsi:type="dcterms:W3CDTF">2020-12-28T02:53:32Z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