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tbl>
      <w:tblPr>
        <w:tblStyle w:val="3"/>
        <w:tblW w:w="9615" w:type="dxa"/>
        <w:tblInd w:w="108" w:type="dxa"/>
        <w:tblLayout w:type="autofit"/>
        <w:tblCellMar>
          <w:top w:w="0" w:type="dxa"/>
          <w:left w:w="108" w:type="dxa"/>
          <w:bottom w:w="0" w:type="dxa"/>
          <w:right w:w="108" w:type="dxa"/>
        </w:tblCellMar>
      </w:tblPr>
      <w:tblGrid>
        <w:gridCol w:w="3680"/>
        <w:gridCol w:w="5935"/>
      </w:tblGrid>
      <w:tr>
        <w:tblPrEx>
          <w:tblCellMar>
            <w:top w:w="0" w:type="dxa"/>
            <w:left w:w="108" w:type="dxa"/>
            <w:bottom w:w="0" w:type="dxa"/>
            <w:right w:w="108" w:type="dxa"/>
          </w:tblCellMar>
        </w:tblPrEx>
        <w:trPr>
          <w:trHeight w:val="1095" w:hRule="atLeast"/>
        </w:trPr>
        <w:tc>
          <w:tcPr>
            <w:tcW w:w="3680" w:type="dxa"/>
            <w:noWrap w:val="0"/>
            <w:vAlign w:val="top"/>
          </w:tcPr>
          <w:p>
            <w:pPr>
              <w:rPr>
                <w:rFonts w:hint="default" w:ascii="Times New Roman" w:hAnsi="Times New Roman" w:cs="Times New Roman"/>
                <w:b/>
                <w:sz w:val="26"/>
                <w:szCs w:val="26"/>
              </w:rPr>
            </w:pPr>
            <w:r>
              <w:rPr>
                <w:rFonts w:hint="default" w:ascii="Times New Roman" w:hAnsi="Times New Roman" w:cs="Times New Roman"/>
                <w:sz w:val="26"/>
                <w:szCs w:val="26"/>
              </w:rPr>
              <w:t xml:space="preserve"> </w:t>
            </w:r>
            <w:r>
              <w:rPr>
                <w:rFonts w:hint="default" w:ascii="Times New Roman" w:hAnsi="Times New Roman" w:cs="Times New Roman"/>
                <w:b/>
                <w:sz w:val="26"/>
                <w:szCs w:val="26"/>
              </w:rPr>
              <w:t>ỦY BAN NHÂN DÂN</w:t>
            </w:r>
          </w:p>
          <w:p>
            <w:pPr>
              <w:rPr>
                <w:rFonts w:hint="default" w:ascii="Times New Roman" w:hAnsi="Times New Roman" w:cs="Times New Roman"/>
                <w:b/>
                <w:sz w:val="26"/>
                <w:szCs w:val="26"/>
              </w:rPr>
            </w:pPr>
            <w:r>
              <w:rPr>
                <w:rFonts w:hint="default" w:ascii="Times New Roman" w:hAnsi="Times New Roman" w:cs="Times New Roman"/>
                <w:b/>
                <w:sz w:val="26"/>
                <w:szCs w:val="26"/>
              </w:rPr>
              <w:t>HUYỆN MANG YANG</w:t>
            </w:r>
          </w:p>
          <w:p>
            <w:pPr>
              <w:keepNext w:val="0"/>
              <w:keepLines w:val="0"/>
              <w:pageBreakBefore w:val="0"/>
              <w:widowControl/>
              <w:kinsoku/>
              <w:wordWrap/>
              <w:overflowPunct/>
              <w:topLinePunct w:val="0"/>
              <w:autoSpaceDE/>
              <w:autoSpaceDN/>
              <w:bidi w:val="0"/>
              <w:adjustRightInd/>
              <w:snapToGrid/>
              <w:spacing w:before="361" w:beforeLines="100"/>
              <w:textAlignment w:val="auto"/>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s">
                  <w:drawing>
                    <wp:anchor distT="0" distB="0" distL="114300" distR="114300" simplePos="0" relativeHeight="251659264" behindDoc="0" locked="0" layoutInCell="1" allowOverlap="1">
                      <wp:simplePos x="0" y="0"/>
                      <wp:positionH relativeFrom="column">
                        <wp:posOffset>254000</wp:posOffset>
                      </wp:positionH>
                      <wp:positionV relativeFrom="paragraph">
                        <wp:posOffset>4445</wp:posOffset>
                      </wp:positionV>
                      <wp:extent cx="1257300" cy="0"/>
                      <wp:effectExtent l="0" t="0" r="0" b="0"/>
                      <wp:wrapNone/>
                      <wp:docPr id="1" name="Straight Connector 1"/>
                      <wp:cNvGraphicFramePr/>
                      <a:graphic xmlns:a="http://schemas.openxmlformats.org/drawingml/2006/main">
                        <a:graphicData uri="http://schemas.microsoft.com/office/word/2010/wordprocessingShape">
                          <wps:wsp>
                            <wps:cNvSpPr/>
                            <wps:spPr>
                              <a:xfrm>
                                <a:off x="0" y="0"/>
                                <a:ext cx="1257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pt;margin-top:0.35pt;height:0pt;width:99pt;z-index:251659264;mso-width-relative:page;mso-height-relative:page;" filled="f" stroked="t" coordsize="21600,21600" o:gfxdata="UEsDBAoAAAAAAIdO4kAAAAAAAAAAAAAAAAAEAAAAZHJzL1BLAwQUAAAACACHTuJAXAQOBtIAAAAE&#10;AQAADwAAAGRycy9kb3ducmV2LnhtbE2Py07DMBBF90j8gzVIbKrWbopoFeJ0AWTHhhbEdhoPSUQ8&#10;TmP3AV/PdAXLozu690yxPvteHWmMXWAL85kBRVwH13Fj4W1bTVegYkJ22AcmC98UYV1eXxWYu3Di&#10;VzpuUqOkhGOOFtqUhlzrWLfkMc7CQCzZZxg9JsGx0W7Ek5T7XmfG3GuPHctCiwM9tlR/bQ7eQqze&#10;aV/9TOqJ+Vg0gbL908szWnt7MzcPoBKd098xXPRFHUpx2oUDu6h6C3dGXkkWlqAkzRYrwd0FdVno&#10;//LlL1BLAwQUAAAACACHTuJANKIgSuMBAADnAwAADgAAAGRycy9lMm9Eb2MueG1srVNNb9swDL0P&#10;6H8QdG+cZMg+jDg9NOsuw1Yg2w9gJNkWoC+QSpz8+1F2mm7dJYf5IFMi9cj3SK0fTt6Jo0GyMTRy&#10;MZtLYYKK2oaukb9+Pt1/koIyBA0uBtPIsyH5sLl7tx5SbZaxj04bFAwSqB5SI/ucU11VpHrjgWYx&#10;mcDONqKHzFvsKo0wMLp31XI+/1ANEXXCqAwRn24np7wg4i2AsW2tMtuoDt6EPKGicZCZEvU2kdyM&#10;1batUflH25LJwjWSmeZx5SRs78tabdZQdwipt+pSAtxSwhtOHmzgpFeoLWQQB7T/QHmrMFJs80xF&#10;X01ERkWYxWL+RptdD8mMXFhqSlfR6f/Bqu/HZxRW8yRIEcBzw3cZwXZ9Fo8xBBYwolgUnYZENYfv&#10;0jNedsRmIX1q0Zc/0xGnUdvzVVtzykLx4WK5+vh+zrKrF1/1ejEh5a8melGMRjobCm2o4fiNMifj&#10;0JeQcuyCGBr5ebVcMRzwDLbcezZ9Yh4UuvEuRWf1k3Wu3CDs9o8OxRHKHIxfocS4f4WVJFugfoob&#10;XdOE9Ab0l6BFPidWKPDDkKUEb7QUzvA7KhYDQp3BulsiObULXEFRddKxWPuoz9yPQ8LSgdKUUmXx&#10;cP/Hei+zWgbsz/0Y9fo+N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AQOBtIAAAAEAQAADwAA&#10;AAAAAAABACAAAAAiAAAAZHJzL2Rvd25yZXYueG1sUEsBAhQAFAAAAAgAh07iQDSiIErjAQAA5wMA&#10;AA4AAAAAAAAAAQAgAAAAIQEAAGRycy9lMm9Eb2MueG1sUEsFBgAAAAAGAAYAWQEAAHYFAAAAAA==&#10;">
                      <v:fill on="f" focussize="0,0"/>
                      <v:stroke color="#000000" joinstyle="round"/>
                      <v:imagedata o:title=""/>
                      <o:lock v:ext="edit" aspectratio="f"/>
                    </v:line>
                  </w:pict>
                </mc:Fallback>
              </mc:AlternateContent>
            </w:r>
            <w:r>
              <w:rPr>
                <w:rFonts w:hint="default" w:ascii="Times New Roman" w:hAnsi="Times New Roman" w:cs="Times New Roman"/>
                <w:sz w:val="26"/>
                <w:szCs w:val="26"/>
              </w:rPr>
              <w:t xml:space="preserve"> Số:       /BC-UBND</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w:t>
            </w:r>
          </w:p>
        </w:tc>
        <w:tc>
          <w:tcPr>
            <w:tcW w:w="5935" w:type="dxa"/>
            <w:noWrap w:val="0"/>
            <w:vAlign w:val="top"/>
          </w:tcPr>
          <w:p>
            <w:pPr>
              <w:jc w:val="center"/>
              <w:rPr>
                <w:rFonts w:hint="default" w:ascii="Times New Roman" w:hAnsi="Times New Roman" w:cs="Times New Roman"/>
                <w:b/>
                <w:sz w:val="26"/>
                <w:szCs w:val="26"/>
              </w:rPr>
            </w:pPr>
            <w:r>
              <w:rPr>
                <w:rFonts w:hint="default" w:ascii="Times New Roman" w:hAnsi="Times New Roman" w:cs="Times New Roman"/>
                <w:b/>
                <w:sz w:val="26"/>
                <w:szCs w:val="26"/>
              </w:rPr>
              <w:t>CỘNG HÒA XÃ HỘI CHỦ NGHĨA VIỆT NAM</w:t>
            </w:r>
          </w:p>
          <w:p>
            <w:pPr>
              <w:jc w:val="center"/>
              <w:rPr>
                <w:rFonts w:hint="default" w:ascii="Times New Roman" w:hAnsi="Times New Roman" w:cs="Times New Roman"/>
                <w:i/>
                <w:sz w:val="26"/>
                <w:szCs w:val="26"/>
              </w:rPr>
            </w:pPr>
            <w:r>
              <w:rPr>
                <w:rFonts w:hint="default" w:ascii="Times New Roman" w:hAnsi="Times New Roman" w:cs="Times New Roman"/>
                <w:b/>
                <w:sz w:val="26"/>
                <w:szCs w:val="26"/>
              </w:rPr>
              <w:t xml:space="preserve">  Độc lập - Tự do - Hạnh phúc</w:t>
            </w:r>
            <w:bookmarkStart w:id="0" w:name="_GoBack"/>
            <w:bookmarkEnd w:id="0"/>
            <w:r>
              <w:rPr>
                <w:rFonts w:hint="default" w:ascii="Times New Roman" w:hAnsi="Times New Roman" w:cs="Times New Roman"/>
                <w:sz w:val="26"/>
                <w:szCs w:val="26"/>
              </w:rPr>
              <mc:AlternateContent>
                <mc:Choice Requires="wps">
                  <w:drawing>
                    <wp:anchor distT="0" distB="0" distL="114300" distR="114300" simplePos="0" relativeHeight="251660288" behindDoc="0" locked="0" layoutInCell="1" allowOverlap="1">
                      <wp:simplePos x="0" y="0"/>
                      <wp:positionH relativeFrom="column">
                        <wp:posOffset>941070</wp:posOffset>
                      </wp:positionH>
                      <wp:positionV relativeFrom="paragraph">
                        <wp:posOffset>36830</wp:posOffset>
                      </wp:positionV>
                      <wp:extent cx="1943100" cy="0"/>
                      <wp:effectExtent l="0" t="0" r="0" b="0"/>
                      <wp:wrapNone/>
                      <wp:docPr id="2" name="Straight Connector 2"/>
                      <wp:cNvGraphicFramePr/>
                      <a:graphic xmlns:a="http://schemas.openxmlformats.org/drawingml/2006/main">
                        <a:graphicData uri="http://schemas.microsoft.com/office/word/2010/wordprocessingShape">
                          <wps:wsp>
                            <wps:cNvSp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4.1pt;margin-top:2.9pt;height:0pt;width:153pt;z-index:251660288;mso-width-relative:page;mso-height-relative:page;" filled="f" stroked="t" coordsize="21600,21600" o:gfxdata="UEsDBAoAAAAAAIdO4kAAAAAAAAAAAAAAAAAEAAAAZHJzL1BLAwQUAAAACACHTuJAf8XJqNMAAAAH&#10;AQAADwAAAGRycy9kb3ducmV2LnhtbE2Py07DMBBF90j8gzVIbCpqN6SoCnG6ALJjQwGxncZDEhGP&#10;09h9wNczsIHl0b26c6Zcn/ygDjTFPrCFxdyAIm6C67m18PJcX61AxYTscAhMFj4pwro6PyuxcOHI&#10;T3TYpFbJCMcCLXQpjYXWsenIY5yHkViy9zB5TIJTq92ERxn3g86MudEee5YLHY5011Hzsdl7C7F+&#10;pV39NWtm5u26DZTt7h8f0NrLi4W5BZXolP7K8KMv6lCJ0zbs2UU1COerTKoWlvKB5PkyF97+sq5K&#10;/d+/+gZQSwMEFAAAAAgAh07iQP4L4vDjAQAA5wMAAA4AAABkcnMvZTJvRG9jLnhtbK1TTW/bMAy9&#10;D9h/EHRv7LjrsBpxemjWXYatQLofwEiyLUBfEJU4+fej5DTduksO80GmROqR75FaPRytYQcVUXvX&#10;8eWi5kw54aV2Q8d/vTzdfOEMEzgJxjvV8ZNC/rD++GE1hVY1fvRGqsgIxGE7hY6PKYW2qlCMygIu&#10;fFCOnL2PFhJt41DJCBOhW1M1df25mnyUIXqhEOl0Mzv5GTFeA+j7Xgu18WJvlUszalQGElHCUQfk&#10;61Jt3yuRfvY9qsRMx4lpKislIXuX12q9gnaIEEYtziXANSW842RBO0p6gdpAAraP+h8oq0X06Pu0&#10;EN5WM5GiCLFY1u+02Y4QVOFCUmO4iI7/D1b8ODxHpmXHG84cWGr4NkXQw5jYo3eOBPSRNVmnKWBL&#10;4dvwHM87JDOTPvbR5j/RYcei7emirTomJuhwef/pdlmT7OLVV71dDBHTN+Uty0bHjXaZNrRw+I6J&#10;klHoa0g+No5NHb+/a+4IDmgGe+o9mTYQD3RDuYveaPmkjck3MA67RxPZAfIclC9TIty/wnKSDeA4&#10;xxXXPCGjAvnVSZZOgRRy9DB4LsEqyZlR9I6yRYDQJtDmmkhKbRxVkFWddczWzssT9WMfYu4AqVaq&#10;zB7qf6n3PKt5wP7cF6S397n+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FyajTAAAABwEAAA8A&#10;AAAAAAAAAQAgAAAAIgAAAGRycy9kb3ducmV2LnhtbFBLAQIUABQAAAAIAIdO4kD+C+Lw4wEAAOcD&#10;AAAOAAAAAAAAAAEAIAAAACIBAABkcnMvZTJvRG9jLnhtbFBLBQYAAAAABgAGAFkBAAB3BQAAAAA=&#10;">
                      <v:fill on="f" focussize="0,0"/>
                      <v:stroke color="#000000" joinstyle="round"/>
                      <v:imagedata o:title=""/>
                      <o:lock v:ext="edit" aspectratio="f"/>
                    </v:line>
                  </w:pict>
                </mc:Fallback>
              </mc:AlternateContent>
            </w:r>
          </w:p>
          <w:p>
            <w:pPr>
              <w:keepNext w:val="0"/>
              <w:keepLines w:val="0"/>
              <w:pageBreakBefore w:val="0"/>
              <w:widowControl/>
              <w:kinsoku/>
              <w:wordWrap/>
              <w:overflowPunct/>
              <w:topLinePunct w:val="0"/>
              <w:autoSpaceDE/>
              <w:autoSpaceDN/>
              <w:bidi w:val="0"/>
              <w:adjustRightInd/>
              <w:snapToGrid/>
              <w:spacing w:before="181" w:beforeLines="50"/>
              <w:jc w:val="center"/>
              <w:textAlignment w:val="auto"/>
              <w:rPr>
                <w:rFonts w:hint="default" w:ascii="Times New Roman" w:hAnsi="Times New Roman" w:cs="Times New Roman"/>
                <w:i/>
                <w:sz w:val="26"/>
                <w:szCs w:val="26"/>
              </w:rPr>
            </w:pPr>
            <w:r>
              <w:rPr>
                <w:rFonts w:hint="default" w:ascii="Times New Roman" w:hAnsi="Times New Roman" w:cs="Times New Roman"/>
                <w:i/>
                <w:sz w:val="26"/>
                <w:szCs w:val="26"/>
              </w:rPr>
              <w:t>Mang Yang, ngày     tháng 12 năm 2020</w:t>
            </w:r>
          </w:p>
        </w:tc>
      </w:tr>
    </w:tbl>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CÁC NỘI DUNG TRIỂN KHAI </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NGHỊ QUYẾT HỘI ĐỒNG NH cvÂN HUYỆN</w:t>
      </w:r>
    </w:p>
    <w:p>
      <w:pPr>
        <w:jc w:val="center"/>
        <w:rPr>
          <w:rFonts w:hint="default" w:ascii="Times New Roman" w:hAnsi="Times New Roman" w:cs="Times New Roman"/>
          <w:b/>
          <w:bCs/>
          <w:sz w:val="28"/>
          <w:szCs w:val="28"/>
          <w:lang w:val="en-US"/>
        </w:rPr>
      </w:pPr>
    </w:p>
    <w:p>
      <w:pPr>
        <w:numPr>
          <w:ilvl w:val="0"/>
          <w:numId w:val="1"/>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Đối với các chỉ tiêu phát triển kinh tế xã hội:</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Phòng Tài chính - KH chủ trì phối hợp các cơ quan: Thống kê, Nông nghiệp phát triển nông thôn, văn hóa, Giáo dục đào tạo, Lao động TB&amp;XH, tài nguyên - MT, Kinh tế - Hạ tầng, UBND các xã thị trấn để giao chi tiết các chỉ tiêu kế hoạch phát triển kinh tế xã hội năm 2021 để triển khai thực hiện. Thời gian hoàn thành trước 31/12/2020.</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Trên cơ sở các chỉ tiêu được giao, các ngành, UBND các xã xây dựng kế hoạch, giải pháp cụ thể để triển khai hoàn thành kế hoạch được giao.</w:t>
      </w:r>
      <w:r>
        <w:rPr>
          <w:rFonts w:hint="default" w:ascii="Times New Roman" w:hAnsi="Times New Roman" w:cs="Times New Roman"/>
          <w:sz w:val="28"/>
          <w:szCs w:val="28"/>
          <w:lang w:val="en-US"/>
        </w:rPr>
        <w:br w:type="textWrapping"/>
      </w:r>
    </w:p>
    <w:p>
      <w:pPr>
        <w:numPr>
          <w:ilvl w:val="0"/>
          <w:numId w:val="1"/>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 Đối với Danh mục các dự án dự kiến đầu tư</w:t>
      </w:r>
      <w:r>
        <w:rPr>
          <w:rFonts w:hint="default" w:ascii="Times New Roman" w:hAnsi="Times New Roman" w:cs="Times New Roman"/>
          <w:sz w:val="28"/>
          <w:szCs w:val="28"/>
          <w:lang w:val="en-US"/>
        </w:rPr>
        <w:t xml:space="preserve"> đã được HĐND huyện thông qua, giao các cơ quan chuyên môn lập báo cáo đề xuất chủ trương đầu tư.</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phòng Tài chính - KH - Phó CT hội đồng sắp lịch thời gian để họp Hội đồng thẩm định chủ trương đầu tư các dự án, trình kỳ họp họp đồng nhân dân gần nhất sau khi có hướng dẫn của cấp trên.</w:t>
      </w:r>
    </w:p>
    <w:p>
      <w:pPr>
        <w:numPr>
          <w:ilvl w:val="0"/>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Giao ngân sách cho các xã, thị trấn:</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Trên cơ sở nghị quyết số: /NQ-HĐND ngày 18/12/2020, UBND huyện ban hành quyết định số:    /QĐ-UBND ngày /12/2021 cho UBND các xã.</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Trên cơ sở Quyết định này, UBND các xã, thị trấn xây dựng dự toán trình Hội đồng nhân dân xã ban hành nghị quyêt đế triển khai thực hiện.</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Trước mắc, UBND huyện giao dự toán theo tinh thần Nghị định 34/NĐ-CP. Nếu đến 20/01/2021, HĐND tỉnh vẫn chưa ban hành Nghị quyết thống nhất triển khai, thì sẽ tiếp tực thực hiện các chế độ cho cán bộ bán chuyên trách xã, thôn, làng theo Nghị quyết 37/NQ-HĐ và Quyết định 20/QĐ-UBND ngày //2019 của UBND tỉnh Gia Lai, UBND huyện sẽ điều chỉnh quyết định giao ngân sách  /QĐ-UBND ngày /12/2021 cho UBND các xã.</w:t>
      </w:r>
    </w:p>
    <w:p>
      <w:pPr>
        <w:numPr>
          <w:ilvl w:val="0"/>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Đối với ngân sách cấp huyện:</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Trên cơ sở nghị quyết số: /NQ-HĐND ngày 18/12/2020, UBND huyện, giao phòng Tài chính - Kh triển khai giao ngân sách cho các cơ quan, đơn vị trước 31/12/2020.</w:t>
      </w:r>
    </w:p>
    <w:p>
      <w:pPr>
        <w:numPr>
          <w:ilvl w:val="0"/>
          <w:numId w:val="0"/>
        </w:numPr>
        <w:ind w:leftChars="0"/>
        <w:jc w:val="both"/>
        <w:rPr>
          <w:rFonts w:hint="default" w:ascii="Times New Roman" w:hAnsi="Times New Roman"/>
          <w:sz w:val="28"/>
          <w:szCs w:val="28"/>
          <w:lang w:val="en-US"/>
        </w:rPr>
      </w:pPr>
      <w:r>
        <w:rPr>
          <w:rFonts w:hint="default" w:ascii="Times New Roman" w:hAnsi="Times New Roman" w:cs="Times New Roman"/>
          <w:sz w:val="28"/>
          <w:szCs w:val="28"/>
          <w:lang w:val="en-US"/>
        </w:rPr>
        <w:t xml:space="preserve">- Đối với kp </w:t>
      </w:r>
      <w:r>
        <w:rPr>
          <w:rFonts w:hint="default" w:ascii="Times New Roman" w:hAnsi="Times New Roman"/>
          <w:sz w:val="28"/>
          <w:szCs w:val="28"/>
          <w:lang w:val="en-US"/>
        </w:rPr>
        <w:t>Kinh phí sửa chữa trường lớp và mua sắm TSCĐ chưa phân bổ:</w:t>
      </w:r>
    </w:p>
    <w:p>
      <w:pPr>
        <w:numPr>
          <w:ilvl w:val="0"/>
          <w:numId w:val="0"/>
        </w:numPr>
        <w:ind w:leftChars="0"/>
        <w:jc w:val="both"/>
        <w:rPr>
          <w:rFonts w:hint="default" w:ascii="Times New Roman" w:hAnsi="Times New Roman"/>
          <w:sz w:val="28"/>
          <w:szCs w:val="28"/>
          <w:lang w:val="en-US"/>
        </w:rPr>
      </w:pPr>
      <w:r>
        <w:rPr>
          <w:rFonts w:hint="default" w:ascii="Times New Roman" w:hAnsi="Times New Roman"/>
          <w:sz w:val="28"/>
          <w:szCs w:val="28"/>
          <w:lang w:val="en-US"/>
        </w:rPr>
        <w:t>Giao phòng Giáo dục - ĐT chủ trì, rà soát nhu cầu các đơn vị học, sắp sếp theo thứ tự ưu tiên hạng cần sửa chữa mua sắm, ưu tiên các trường ở vùng khó khăn, các trường nợ chuẩn, để đề xuất triển khai.</w:t>
      </w:r>
    </w:p>
    <w:p>
      <w:pPr>
        <w:numPr>
          <w:ilvl w:val="0"/>
          <w:numId w:val="0"/>
        </w:numPr>
        <w:ind w:leftChars="0"/>
        <w:jc w:val="both"/>
        <w:rPr>
          <w:rFonts w:hint="default" w:ascii="Times New Roman" w:hAnsi="Times New Roman"/>
          <w:sz w:val="28"/>
          <w:szCs w:val="28"/>
          <w:lang w:val="en-US"/>
        </w:rPr>
      </w:pPr>
      <w:r>
        <w:rPr>
          <w:rFonts w:hint="default" w:ascii="Times New Roman" w:hAnsi="Times New Roman"/>
          <w:sz w:val="28"/>
          <w:szCs w:val="28"/>
          <w:lang w:val="en-US"/>
        </w:rPr>
        <w:t>Giao phòng TC-KH chủ trì, thẩm định các nội dung liên quan tham mưu UBND huyện triển khai phân bổ để thực hiện</w:t>
      </w:r>
    </w:p>
    <w:p>
      <w:pPr>
        <w:numPr>
          <w:ilvl w:val="0"/>
          <w:numId w:val="0"/>
        </w:numPr>
        <w:ind w:leftChars="0"/>
        <w:jc w:val="both"/>
        <w:rPr>
          <w:rFonts w:hint="default" w:ascii="Times New Roman" w:hAnsi="Times New Roman"/>
          <w:sz w:val="28"/>
          <w:szCs w:val="28"/>
          <w:lang w:val="en-US"/>
        </w:rPr>
      </w:pPr>
      <w:r>
        <w:rPr>
          <w:rFonts w:hint="default" w:ascii="Times New Roman" w:hAnsi="Times New Roman"/>
          <w:sz w:val="28"/>
          <w:szCs w:val="28"/>
          <w:lang w:val="en-US"/>
        </w:rPr>
        <w:t xml:space="preserve"> - Đối với vốn sự nghiệp nông nghiệp, khuyến nông: </w:t>
      </w:r>
    </w:p>
    <w:p>
      <w:pPr>
        <w:numPr>
          <w:ilvl w:val="0"/>
          <w:numId w:val="0"/>
        </w:numPr>
        <w:ind w:leftChars="0"/>
        <w:jc w:val="both"/>
        <w:rPr>
          <w:rFonts w:hint="default" w:ascii="Times New Roman" w:hAnsi="Times New Roman"/>
          <w:sz w:val="28"/>
          <w:szCs w:val="28"/>
          <w:lang w:val="en-US"/>
        </w:rPr>
      </w:pPr>
      <w:r>
        <w:rPr>
          <w:rFonts w:hint="default" w:ascii="Times New Roman" w:hAnsi="Times New Roman"/>
          <w:sz w:val="28"/>
          <w:szCs w:val="28"/>
          <w:lang w:val="en-US"/>
        </w:rPr>
        <w:t>- Đối với vốn chỉnh trang trang đô thị:</w:t>
      </w:r>
    </w:p>
    <w:p>
      <w:pPr>
        <w:numPr>
          <w:ilvl w:val="0"/>
          <w:numId w:val="0"/>
        </w:numPr>
        <w:ind w:leftChars="0"/>
        <w:jc w:val="both"/>
        <w:rPr>
          <w:rFonts w:hint="default" w:ascii="Times New Roman" w:hAnsi="Times New Roman"/>
          <w:sz w:val="28"/>
          <w:szCs w:val="28"/>
          <w:lang w:val="en-US"/>
        </w:rPr>
      </w:pPr>
      <w:r>
        <w:rPr>
          <w:rFonts w:hint="default" w:ascii="Times New Roman" w:hAnsi="Times New Roman"/>
          <w:sz w:val="28"/>
          <w:szCs w:val="28"/>
          <w:lang w:val="en-US"/>
        </w:rPr>
        <w:t>- Sự nghiệp giao thông:</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đội công trình đô thị đề xuất chi tiết các hạng mục cần triển khai, gửi phòng Kinh tế - Hạ tầng, Tài chính KH để thẩm định thống nhất trình UBND huyện, trình Thường trực, Ban thường vụ Huyện ủy, Thường trực HĐND huyện thống nhất nội dung trước khi thực hiện.</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phòng Kinh tế hạ tầng chủ trì, phối hợp phòng Tài chính - KH thẩm định đinh mức và dự toán trình UBND huyện phê duyệt.</w:t>
      </w:r>
    </w:p>
    <w:p>
      <w:pPr>
        <w:numPr>
          <w:ilvl w:val="0"/>
          <w:numId w:val="0"/>
        </w:numPr>
        <w:ind w:leftChars="0"/>
        <w:jc w:val="both"/>
        <w:rPr>
          <w:rFonts w:hint="default" w:ascii="Times New Roman" w:hAnsi="Times New Roman"/>
          <w:sz w:val="28"/>
          <w:szCs w:val="28"/>
          <w:lang w:val="en-US"/>
        </w:rPr>
      </w:pPr>
      <w:r>
        <w:rPr>
          <w:rFonts w:hint="default" w:ascii="Times New Roman" w:hAnsi="Times New Roman"/>
          <w:sz w:val="28"/>
          <w:szCs w:val="28"/>
          <w:lang w:val="en-US"/>
        </w:rPr>
        <w:t>- Đối với vốn sự nghiệp Môi trường:</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đội công trình đô thị đề xuất chi tiết các hạng mục cần triển khai, gửi phòng Tài nguyên - MT, Tài chính KH để thẩm định thống nhất trình UBND huyện, trình Thường trực, Ban thường vụ Huyện ủy, Thường trực HĐND huyện thống nhất nội dung trước khi thực hiện.</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phòng Tài nguyên - MTchủ trì, phối hợp phòng Tài chính - KH thẩm định đinh mức và dự toán trình UBND huyện phê duyệt.</w:t>
      </w:r>
    </w:p>
    <w:p>
      <w:pPr>
        <w:numPr>
          <w:ilvl w:val="0"/>
          <w:numId w:val="0"/>
        </w:numPr>
        <w:ind w:leftChars="0"/>
        <w:jc w:val="both"/>
        <w:rPr>
          <w:rFonts w:hint="default" w:ascii="Times New Roman" w:hAnsi="Times New Roman" w:cs="Times New Roman"/>
          <w:sz w:val="28"/>
          <w:szCs w:val="28"/>
          <w:lang w:val="en-US"/>
        </w:rPr>
      </w:pP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Ủy ban nhân dân các cấp sử dụng kinh phí do người được nhà nước giao đất, cho thuê đất để sử dụng vào mục đích phi nông nghiệp từ đất chuyên trồng lúa nước nộp và nguồn kinh phí hỗ trợ theo quy định tại khoản 2 Điều 7 của Nghị định này để thực hiện bảo vệ, phát triển đất trồng lúa. Tùy thuộc vào điều kiện cụ thể, địa phương sẽ quyết định thực hiện các việc sau:</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1. Hỗ trợ cho người trồng lúa</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Sử dụng không thấp hơn 50% kinh phí dùng hỗ trợ cho người trồng lúa để áp dụng giống mới, tiến bộ kỹ thuật, công nghệ mới trong sản xuất lúa; hỗ trợ liên kết sản xuất, tiêu thụ sản phẩm.</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2. Phần kinh phí còn lại để thực hiện các việc sau:</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a) Phân tích chất lượng hóa, lý tính của các vùng đất chuyên trồng lúa nước có năng suất, chất lượng cao định kỳ 10 năm để sử dụng hiệu quả và có biện pháp cải tạo phù hợp;</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b) Cải tạo nâng cao chất lượng đất chuyên trồng lúa nước hoặc đất trồng lúa nước còn lại: tăng độ dày của tầng canh tác; tôn cao đất trồng lúa trũng, thấp; tăng độ bằng phẳng mặt ruộng; thau chua, rửa mặn đối với đất bị nhiễm phèn, mặn và các biện pháp cải tạo đất khác;</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c) Đầu tư xây dựng, duy tu bảo dưỡng các công trình hạ tầng nông nghiệp, nông thôn trên địa bàn xã, trong đó ưu tiên đầu tư hệ thống giao thông, thủy lợi trên đất trồng lúa;</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d) Khai hoang, phục hóa đất chưa sử dụng thành đất chuyên trồng lúa nước hoặc đất trồng lúa nước còn lại.”</w:t>
      </w:r>
    </w:p>
    <w:sectPr>
      <w:pgSz w:w="11906" w:h="16838"/>
      <w:pgMar w:top="640" w:right="906" w:bottom="1440" w:left="1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F07F4E"/>
    <w:multiLevelType w:val="singleLevel"/>
    <w:tmpl w:val="57F07F4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A2EE9"/>
    <w:rsid w:val="02DC40DF"/>
    <w:rsid w:val="238A2EE9"/>
    <w:rsid w:val="2A78784E"/>
    <w:rsid w:val="2D0A6CF0"/>
    <w:rsid w:val="5C4B1E08"/>
    <w:rsid w:val="5CF365A8"/>
    <w:rsid w:val="5DBA1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2020-12-21T13:16:00Z</dcterms:created>
  <dc:creator>TGDD</dc:creator>
  <cp:lastModifiedBy>TGDD</cp:lastModifiedBy>
  <cp:lastPrinted>2020-12-22T06:30:00Z</cp:lastPrinted>
  <dcterms:modified xsi:type="dcterms:W3CDTF">2021-01-07T10:08:02Z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