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420" w:beforeAutospacing="0" w:after="120" w:afterAutospacing="0" w:line="168" w:lineRule="atLeast"/>
        <w:ind w:left="0" w:right="0"/>
        <w:jc w:val="both"/>
      </w:pPr>
      <w:r>
        <w:rPr>
          <w:rFonts w:hint="default" w:ascii="Times New Roman" w:hAnsi="Times New Roman" w:cs="Times New Roman"/>
          <w:b/>
          <w:i w:val="0"/>
          <w:caps w:val="0"/>
          <w:color w:val="000000"/>
          <w:spacing w:val="0"/>
          <w:sz w:val="24"/>
          <w:szCs w:val="24"/>
          <w:shd w:val="clear" w:fill="FFFFFF"/>
        </w:rPr>
        <w:t>Tôi là kế toán tại Đội quản lý đô thị và các công trình công cộng huyện Trà Bồng. Đơn vị tôi là đơn vị sự nghiệp hoạt động dịch vụ công ích đô thị được ngân sách Nhà nước bảo đảm toàn bộ kinh phí hoạt động thường xuyên thực hiện theo Nghị định số 16/2015/NĐ-CP và Nghị định số 141/2016/NĐ-CP về tự chủ.</w:t>
      </w:r>
    </w:p>
    <w:p>
      <w:pPr>
        <w:pStyle w:val="2"/>
        <w:keepNext w:val="0"/>
        <w:keepLines w:val="0"/>
        <w:widowControl/>
        <w:suppressLineNumbers w:val="0"/>
        <w:spacing w:before="420" w:beforeAutospacing="0" w:after="120" w:afterAutospacing="0" w:line="168" w:lineRule="atLeast"/>
        <w:ind w:left="0" w:right="0"/>
        <w:jc w:val="both"/>
      </w:pPr>
      <w:r>
        <w:rPr>
          <w:rFonts w:hint="default" w:ascii="Times New Roman" w:hAnsi="Times New Roman" w:cs="Times New Roman"/>
          <w:b/>
          <w:i w:val="0"/>
          <w:caps w:val="0"/>
          <w:color w:val="000000"/>
          <w:spacing w:val="0"/>
          <w:sz w:val="24"/>
          <w:szCs w:val="24"/>
          <w:shd w:val="clear" w:fill="FFFFFF"/>
        </w:rPr>
        <w:t>Trong năm đơn vị tôi nhận đặt hàng dịch vụ công ích sử dụng vốn ngân sách của các phòng ban chuyên môn trực thuộc UBND huyện theo Nghị định số 32/2019/NĐ-CP.</w:t>
      </w:r>
    </w:p>
    <w:p>
      <w:pPr>
        <w:pStyle w:val="2"/>
        <w:keepNext w:val="0"/>
        <w:keepLines w:val="0"/>
        <w:widowControl/>
        <w:suppressLineNumbers w:val="0"/>
        <w:spacing w:before="420" w:beforeAutospacing="0" w:after="120" w:afterAutospacing="0" w:line="168" w:lineRule="atLeast"/>
        <w:ind w:left="0" w:right="0"/>
        <w:jc w:val="both"/>
      </w:pPr>
      <w:r>
        <w:rPr>
          <w:rFonts w:hint="default" w:ascii="Times New Roman" w:hAnsi="Times New Roman" w:cs="Times New Roman"/>
          <w:b/>
          <w:i w:val="0"/>
          <w:caps w:val="0"/>
          <w:color w:val="000000"/>
          <w:spacing w:val="0"/>
          <w:sz w:val="24"/>
          <w:szCs w:val="24"/>
          <w:shd w:val="clear" w:fill="FFFFFF"/>
        </w:rPr>
        <w:t>Cho tôi hỏi, đây có được xem là nguồn thu dịch vụ của đơn vị hay không? </w:t>
      </w:r>
      <w:r>
        <w:rPr>
          <w:rFonts w:hint="default" w:ascii="Times New Roman" w:hAnsi="Times New Roman" w:cs="Times New Roman"/>
          <w:b/>
          <w:i w:val="0"/>
          <w:caps w:val="0"/>
          <w:color w:val="000000"/>
          <w:spacing w:val="0"/>
          <w:sz w:val="24"/>
          <w:szCs w:val="24"/>
          <w:shd w:val="clear" w:fill="FFFF00"/>
        </w:rPr>
        <w:t>Đơn vị tôi có được dùng nguồn thu này để thuê lao động hợp đồng đóng BHXH hay không?</w:t>
      </w:r>
    </w:p>
    <w:p>
      <w:pPr>
        <w:pStyle w:val="2"/>
        <w:keepNext w:val="0"/>
        <w:keepLines w:val="0"/>
        <w:widowControl/>
        <w:suppressLineNumbers w:val="0"/>
        <w:spacing w:before="420" w:beforeAutospacing="0" w:after="120" w:afterAutospacing="0" w:line="168" w:lineRule="atLeast"/>
        <w:ind w:left="0" w:right="0"/>
        <w:jc w:val="both"/>
      </w:pPr>
      <w:r>
        <w:rPr>
          <w:rFonts w:hint="default" w:ascii="Times New Roman" w:hAnsi="Times New Roman" w:cs="Times New Roman"/>
          <w:b/>
          <w:i w:val="0"/>
          <w:caps w:val="0"/>
          <w:color w:val="000000"/>
          <w:spacing w:val="0"/>
          <w:sz w:val="24"/>
          <w:szCs w:val="24"/>
          <w:shd w:val="clear" w:fill="FFFFFF"/>
        </w:rPr>
        <w:t>Cuối năm phần chênh lệch thu - chi từ việc đặt hàng này, đơn vị tôi được trích lập các quỹ theo quy định tại Nghị định số 16/2015/NĐ-CP và Nghị định số 141/2016/NĐ-CP. Nhưng theo quy định tại Nghị định này thì đối với đơn vị sự nghiệp được ngân sách Nhà nước bảo đảm toàn bộ không được trích lập quỹ bình ổn thu nhập. Như vậy đơn vị tôi không trích quỹ này có đúng không? Chênh lệch từ nguồn thu này đơn vị chúng tôi cũng không được chi trả thu nhập tăng thêm cho cán bộ viên chức và người lao động đúng không?</w:t>
      </w:r>
    </w:p>
    <w:p>
      <w:pPr>
        <w:pStyle w:val="2"/>
        <w:keepNext w:val="0"/>
        <w:keepLines w:val="0"/>
        <w:widowControl/>
        <w:suppressLineNumbers w:val="0"/>
        <w:spacing w:before="420" w:beforeAutospacing="0" w:after="120" w:afterAutospacing="0" w:line="168" w:lineRule="atLeast"/>
        <w:ind w:left="0" w:right="0"/>
        <w:jc w:val="both"/>
      </w:pPr>
      <w:r>
        <w:rPr>
          <w:rFonts w:hint="default" w:ascii="Times New Roman" w:hAnsi="Times New Roman" w:cs="Times New Roman"/>
          <w:b/>
          <w:i w:val="0"/>
          <w:caps w:val="0"/>
          <w:color w:val="000000"/>
          <w:spacing w:val="0"/>
          <w:sz w:val="24"/>
          <w:szCs w:val="24"/>
          <w:shd w:val="clear" w:fill="FFFFFF"/>
        </w:rPr>
        <w:t>Kính mong Bộ Tài chính giải đáp thắc mắc cho đơn vị.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00" w:beforeAutospacing="0" w:line="216" w:lineRule="atLeast"/>
        <w:ind w:left="0" w:firstLine="0"/>
        <w:jc w:val="both"/>
        <w:rPr>
          <w:rFonts w:ascii="Arial" w:hAnsi="Arial" w:cs="Arial"/>
          <w:b/>
          <w:i w:val="0"/>
          <w:caps w:val="0"/>
          <w:color w:val="000000"/>
          <w:spacing w:val="0"/>
          <w:sz w:val="14"/>
          <w:szCs w:val="14"/>
        </w:rPr>
      </w:pPr>
      <w:r>
        <w:rPr>
          <w:rFonts w:hint="default" w:ascii="Arial" w:hAnsi="Arial" w:eastAsia="SimSun" w:cs="Arial"/>
          <w:b/>
          <w:i w:val="0"/>
          <w:caps w:val="0"/>
          <w:color w:val="000000"/>
          <w:spacing w:val="0"/>
          <w:kern w:val="0"/>
          <w:sz w:val="14"/>
          <w:szCs w:val="14"/>
          <w:bdr w:val="none" w:color="auto" w:sz="0" w:space="0"/>
          <w:shd w:val="clear" w:fill="FFFFFF"/>
          <w:lang w:val="en-US" w:eastAsia="zh-CN" w:bidi="ar"/>
        </w:rPr>
        <w:t>30/10/2020</w:t>
      </w:r>
    </w:p>
    <w:p>
      <w:pPr>
        <w:keepNext w:val="0"/>
        <w:keepLines w:val="0"/>
        <w:widowControl/>
        <w:suppressLineNumbers w:val="0"/>
        <w:shd w:val="clear" w:fill="FFFFFF"/>
        <w:spacing w:before="120" w:beforeAutospacing="0" w:after="120" w:afterAutospacing="0"/>
        <w:ind w:left="0" w:right="0" w:firstLine="0"/>
        <w:jc w:val="left"/>
        <w:rPr>
          <w:rFonts w:hint="default" w:ascii="Arial" w:hAnsi="Arial" w:cs="Arial"/>
          <w:i w:val="0"/>
          <w:caps w:val="0"/>
          <w:color w:val="333333"/>
          <w:spacing w:val="0"/>
          <w:sz w:val="16"/>
          <w:szCs w:val="16"/>
        </w:rPr>
      </w:pPr>
      <w:r>
        <w:rPr>
          <w:rFonts w:hint="default" w:ascii="Arial" w:hAnsi="Arial" w:eastAsia="SimSun" w:cs="Arial"/>
          <w:i w:val="0"/>
          <w:caps w:val="0"/>
          <w:color w:val="333333"/>
          <w:spacing w:val="0"/>
          <w:kern w:val="0"/>
          <w:sz w:val="16"/>
          <w:szCs w:val="16"/>
          <w:bdr w:val="none" w:color="auto" w:sz="0" w:space="0"/>
          <w:shd w:val="clear" w:fill="FFFFFF"/>
          <w:lang w:val="en-US" w:eastAsia="zh-CN" w:bidi="ar"/>
        </w:rPr>
        <w:drawing>
          <wp:inline distT="0" distB="0" distL="114300" distR="114300">
            <wp:extent cx="209550" cy="209550"/>
            <wp:effectExtent l="0" t="0" r="3810" b="381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209550" cy="209550"/>
                    </a:xfrm>
                    <a:prstGeom prst="rect">
                      <a:avLst/>
                    </a:prstGeom>
                    <a:noFill/>
                    <a:ln w="9525">
                      <a:noFill/>
                    </a:ln>
                  </pic:spPr>
                </pic:pic>
              </a:graphicData>
            </a:graphic>
          </wp:inline>
        </w:drawing>
      </w:r>
    </w:p>
    <w:p>
      <w:pPr>
        <w:keepNext w:val="0"/>
        <w:keepLines w:val="0"/>
        <w:widowControl/>
        <w:suppressLineNumbers w:val="0"/>
        <w:shd w:val="clear" w:fill="FFFFFF"/>
        <w:spacing w:before="120" w:beforeAutospacing="0" w:after="120" w:afterAutospacing="0"/>
        <w:ind w:left="0" w:right="0" w:firstLine="0"/>
        <w:jc w:val="left"/>
        <w:rPr>
          <w:rFonts w:hint="default" w:ascii="Arial" w:hAnsi="Arial" w:cs="Arial"/>
          <w:i w:val="0"/>
          <w:caps w:val="0"/>
          <w:color w:val="333333"/>
          <w:spacing w:val="0"/>
          <w:sz w:val="16"/>
          <w:szCs w:val="16"/>
        </w:rPr>
      </w:pPr>
      <w:r>
        <w:rPr>
          <w:rFonts w:hint="default" w:ascii="Arial" w:hAnsi="Arial" w:eastAsia="SimSun" w:cs="Arial"/>
          <w:b/>
          <w:i w:val="0"/>
          <w:caps w:val="0"/>
          <w:color w:val="333333"/>
          <w:spacing w:val="0"/>
          <w:kern w:val="0"/>
          <w:sz w:val="16"/>
          <w:szCs w:val="16"/>
          <w:shd w:val="clear" w:fill="FFFFFF"/>
          <w:lang w:val="en-US" w:eastAsia="zh-CN" w:bidi="ar"/>
        </w:rPr>
        <w:t>Trả lời:</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Fonts w:hint="default" w:ascii="Times New Roman" w:hAnsi="Times New Roman" w:cs="Times New Roman"/>
          <w:i w:val="0"/>
          <w:caps w:val="0"/>
          <w:color w:val="333333"/>
          <w:spacing w:val="0"/>
          <w:sz w:val="24"/>
          <w:szCs w:val="24"/>
          <w:shd w:val="clear" w:fill="FFFFFF"/>
          <w:vertAlign w:val="baseline"/>
          <w:lang w:val="nl"/>
        </w:rPr>
        <w:t>Theo thông tin độc giả cung cấp, đơn vị được hỏi là Đội quản lý đô thị và các công trình công cộng huyện Trà Bồng là đơn vị sự nghiệp (SNCL) hoạt động dịch vụ công ích đô thị được ngân sách Nhà nước bảo đảm toàn bộ kinh phí hoạt động thường xuyên thực hiện theo Nghị định số 16/2015/NĐ-CP ngày 14/02/2015 và Nghị định số 141/2016/NĐ-CP ngày 10/10/2016 của Chính phủ.</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Style w:val="4"/>
          <w:rFonts w:hint="default" w:ascii="Times New Roman" w:hAnsi="Times New Roman" w:cs="Times New Roman"/>
          <w:i w:val="0"/>
          <w:caps w:val="0"/>
          <w:color w:val="333333"/>
          <w:spacing w:val="0"/>
          <w:sz w:val="24"/>
          <w:szCs w:val="24"/>
          <w:shd w:val="clear" w:fill="FFFFFF"/>
          <w:vertAlign w:val="baseline"/>
          <w:lang w:val="nl"/>
        </w:rPr>
        <w:t>(1) Đơn vị nhận đặt hàng dịch vụ công ích sử dụng vốn ngân sách của các phòng ban chuyên môn trực thuộc UBND huyện theo Nghị định số 32/2019/NĐ-CP có được xem là nguồn thu dịch vụ của đơn vị hay không?</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Fonts w:hint="default" w:ascii="Times New Roman" w:hAnsi="Times New Roman" w:cs="Times New Roman"/>
          <w:i w:val="0"/>
          <w:caps w:val="0"/>
          <w:color w:val="333333"/>
          <w:spacing w:val="0"/>
          <w:sz w:val="24"/>
          <w:szCs w:val="24"/>
          <w:shd w:val="clear" w:fill="FFFFFF"/>
          <w:vertAlign w:val="baseline"/>
          <w:lang w:val="nl"/>
        </w:rPr>
        <w:t>Về nguồn tài chính của đơn vị sự nghiệp công lập do Nhà nước đảm bảo toàn bộ kinh phí hoạt động thường xuyên, tại điều 15, Nghị định số 141/2016/NĐ-CP quy định:</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Style w:val="4"/>
          <w:rFonts w:hint="default" w:ascii="Times New Roman" w:hAnsi="Times New Roman" w:cs="Times New Roman"/>
          <w:i w:val="0"/>
          <w:caps w:val="0"/>
          <w:color w:val="333333"/>
          <w:spacing w:val="0"/>
          <w:sz w:val="24"/>
          <w:szCs w:val="24"/>
          <w:shd w:val="clear" w:fill="FFFFFF"/>
          <w:vertAlign w:val="baseline"/>
          <w:lang w:val="nl"/>
        </w:rPr>
        <w:t>“1. Nguồn tài chính của đơn vị</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Style w:val="4"/>
          <w:rFonts w:hint="default" w:ascii="Times New Roman" w:hAnsi="Times New Roman" w:cs="Times New Roman"/>
          <w:i w:val="0"/>
          <w:caps w:val="0"/>
          <w:color w:val="333333"/>
          <w:spacing w:val="0"/>
          <w:sz w:val="24"/>
          <w:szCs w:val="24"/>
          <w:shd w:val="clear" w:fill="FFFFFF"/>
          <w:vertAlign w:val="baseline"/>
          <w:lang w:val="nl"/>
        </w:rPr>
        <w:t>a) Ngân sách nhà nước cấp chi thường xuyên trên cơ sở số lượng người làm việc và định mức phân bổ dự toán được cấp có thẩm quyền phê duyệt;</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Style w:val="4"/>
          <w:rFonts w:hint="default" w:ascii="Times New Roman" w:hAnsi="Times New Roman" w:cs="Times New Roman"/>
          <w:i w:val="0"/>
          <w:caps w:val="0"/>
          <w:color w:val="333333"/>
          <w:spacing w:val="0"/>
          <w:sz w:val="24"/>
          <w:szCs w:val="24"/>
          <w:shd w:val="clear" w:fill="FFFFFF"/>
          <w:vertAlign w:val="baseline"/>
          <w:lang w:val="nl"/>
        </w:rPr>
        <w:t>b) Nguồn thu khác theo quy định của pháp luật (nếu có);</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Style w:val="4"/>
          <w:rFonts w:hint="default" w:ascii="Times New Roman" w:hAnsi="Times New Roman" w:cs="Times New Roman"/>
          <w:i w:val="0"/>
          <w:caps w:val="0"/>
          <w:color w:val="333333"/>
          <w:spacing w:val="0"/>
          <w:sz w:val="24"/>
          <w:szCs w:val="24"/>
          <w:shd w:val="clear" w:fill="FFFFFF"/>
          <w:vertAlign w:val="baseline"/>
          <w:lang w:val="nl"/>
        </w:rPr>
        <w:t>c) Nguồn ngân sách nhà nước cấp cho các nhiệm vụ không thường xuyên quy định tại điểm đ khoản 1 Điều 12 Nghị định này và kinh phí mua sắm, sửa chữa lớn trang thiết bị, tài sản cho đơn vị theo dự án được cấp có thẩm quyền phê duyệt (nếu có);</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Style w:val="4"/>
          <w:rFonts w:hint="default" w:ascii="Times New Roman" w:hAnsi="Times New Roman" w:cs="Times New Roman"/>
          <w:i w:val="0"/>
          <w:caps w:val="0"/>
          <w:color w:val="333333"/>
          <w:spacing w:val="0"/>
          <w:sz w:val="24"/>
          <w:szCs w:val="24"/>
          <w:shd w:val="clear" w:fill="FFFFFF"/>
          <w:vertAlign w:val="baseline"/>
          <w:lang w:val="nl"/>
        </w:rPr>
        <w:t>d) Nguồn viện trợ, tài trợ theo quy định của pháp luật;</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Style w:val="4"/>
          <w:rFonts w:hint="default" w:ascii="Times New Roman" w:hAnsi="Times New Roman" w:cs="Times New Roman"/>
          <w:i w:val="0"/>
          <w:caps w:val="0"/>
          <w:color w:val="333333"/>
          <w:spacing w:val="0"/>
          <w:sz w:val="24"/>
          <w:szCs w:val="24"/>
          <w:shd w:val="clear" w:fill="FFFFFF"/>
          <w:vertAlign w:val="baseline"/>
          <w:lang w:val="nl"/>
        </w:rPr>
        <w:t>đ) Nguồn khác (nếu có).”</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Fonts w:hint="default" w:ascii="Times New Roman" w:hAnsi="Times New Roman" w:cs="Times New Roman"/>
          <w:i w:val="0"/>
          <w:caps w:val="0"/>
          <w:color w:val="333333"/>
          <w:spacing w:val="0"/>
          <w:sz w:val="24"/>
          <w:szCs w:val="24"/>
          <w:shd w:val="clear" w:fill="FFFFFF"/>
          <w:vertAlign w:val="baseline"/>
          <w:lang w:val="nl"/>
        </w:rPr>
        <w:t>Theo đó, trên cơ sở chức năng, nhiệm vụ được cấp có thẩm quyền giao, đơn vị hạch toán nguồn thu cho phù hợp.</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Style w:val="4"/>
          <w:rFonts w:hint="default" w:ascii="Times New Roman" w:hAnsi="Times New Roman" w:cs="Times New Roman"/>
          <w:i w:val="0"/>
          <w:caps w:val="0"/>
          <w:color w:val="333333"/>
          <w:spacing w:val="0"/>
          <w:sz w:val="24"/>
          <w:szCs w:val="24"/>
          <w:shd w:val="clear" w:fill="FFFFFF"/>
          <w:vertAlign w:val="baseline"/>
          <w:lang w:val="nl"/>
        </w:rPr>
        <w:t>(2) Có được dùng nguồn thu này để thuê lao động hợp đồng đóng BHXH không?</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Fonts w:hint="default" w:ascii="Times New Roman" w:hAnsi="Times New Roman" w:cs="Times New Roman"/>
          <w:i w:val="0"/>
          <w:caps w:val="0"/>
          <w:color w:val="333333"/>
          <w:spacing w:val="0"/>
          <w:sz w:val="24"/>
          <w:szCs w:val="24"/>
          <w:shd w:val="clear" w:fill="FFFFFF"/>
          <w:vertAlign w:val="baseline"/>
          <w:lang w:val="nl"/>
        </w:rPr>
        <w:t>Đơn vị sự nghiệp công lập do nhà nước đảm bảo chi thường xuyên được NSNN cấp đủ kinh phí cho tổ chức bộ máy nhân sự làm việc (đã bao gồm BHXH). Trong trường hợp đơn vị thực hiện cung cấp dịch vụ và bổ sung lao động thuê ngoài thì đơn vị thực hiện ký kết hợp đồng lao động theo các quy định hiện hành (Luật Lao động, Luật BHXH,...)</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Style w:val="4"/>
          <w:rFonts w:hint="default" w:ascii="Times New Roman" w:hAnsi="Times New Roman" w:cs="Times New Roman"/>
          <w:i w:val="0"/>
          <w:caps w:val="0"/>
          <w:color w:val="333333"/>
          <w:spacing w:val="0"/>
          <w:sz w:val="24"/>
          <w:szCs w:val="24"/>
          <w:shd w:val="clear" w:fill="FFFFFF"/>
          <w:vertAlign w:val="baseline"/>
          <w:lang w:val="nl"/>
        </w:rPr>
        <w:t>(3) Đơn vị do ngân sách Nhà nước đảm bảo chi thường xuyên không trích lập quỹ bình ổn thu nhập và chênh lệch từ thu-chi hoạt động đặt hàng dịch vụ sự nghiệp công không được chi trả thu nhập tăng thêm thì có đúng quy định không?</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Fonts w:hint="default" w:ascii="Times New Roman" w:hAnsi="Times New Roman" w:cs="Times New Roman"/>
          <w:i w:val="0"/>
          <w:caps w:val="0"/>
          <w:color w:val="333333"/>
          <w:spacing w:val="0"/>
          <w:sz w:val="24"/>
          <w:szCs w:val="24"/>
          <w:shd w:val="clear" w:fill="FFFFFF"/>
          <w:vertAlign w:val="baseline"/>
          <w:lang w:val="nl"/>
        </w:rPr>
        <w:t>Tại khoản 3, điều 15 (Tự chủ tài chính đối với các đơn vị sự nghiệp kinh tếm sự nghiệp khác do Nhà nước bảo đảm chi thường xuyên), Nghị định 141/2016/NĐ-CP ngày 10 tháng 10 năm 2016 của Chính phủ quy định:</w:t>
      </w:r>
    </w:p>
    <w:p>
      <w:pPr>
        <w:pStyle w:val="2"/>
        <w:keepNext w:val="0"/>
        <w:keepLines w:val="0"/>
        <w:widowControl/>
        <w:suppressLineNumbers w:val="0"/>
        <w:spacing w:before="120" w:beforeAutospacing="0" w:after="120" w:afterAutospacing="0" w:line="216" w:lineRule="atLeast"/>
        <w:ind w:left="0" w:right="0" w:firstLine="720"/>
        <w:jc w:val="both"/>
      </w:pPr>
      <w:r>
        <w:rPr>
          <w:rStyle w:val="4"/>
          <w:rFonts w:hint="default" w:ascii="Times New Roman" w:hAnsi="Times New Roman" w:cs="Times New Roman"/>
          <w:i w:val="0"/>
          <w:caps w:val="0"/>
          <w:color w:val="333333"/>
          <w:spacing w:val="0"/>
          <w:sz w:val="24"/>
          <w:szCs w:val="24"/>
          <w:shd w:val="clear" w:fill="FFFFFF"/>
          <w:lang w:val="nl"/>
        </w:rPr>
        <w:t>“3. Sử dụng kinh phí tiết kiệm chi thường xuyên</w:t>
      </w:r>
    </w:p>
    <w:p>
      <w:pPr>
        <w:pStyle w:val="2"/>
        <w:keepNext w:val="0"/>
        <w:keepLines w:val="0"/>
        <w:widowControl/>
        <w:suppressLineNumbers w:val="0"/>
        <w:spacing w:before="120" w:beforeAutospacing="0" w:after="120" w:afterAutospacing="0" w:line="216" w:lineRule="atLeast"/>
        <w:ind w:left="0" w:right="0" w:firstLine="720"/>
        <w:jc w:val="both"/>
      </w:pPr>
      <w:r>
        <w:rPr>
          <w:rStyle w:val="4"/>
          <w:rFonts w:hint="default" w:ascii="Times New Roman" w:hAnsi="Times New Roman" w:cs="Times New Roman"/>
          <w:i w:val="0"/>
          <w:caps w:val="0"/>
          <w:color w:val="333333"/>
          <w:spacing w:val="0"/>
          <w:sz w:val="24"/>
          <w:szCs w:val="24"/>
          <w:shd w:val="clear" w:fill="FFFFFF"/>
          <w:lang w:val="nl"/>
        </w:rPr>
        <w:t>a) Hàng năm, sau khi trang trải các khoản chi phí, nộp thuế và các khoản nộp ngân sách nhà nước khác (nếu có) theo quy định, phần kinh phí tiết kiệm chi thường xuyên (nếu có), đơn vị được sử dụng theo trình tự như sau:</w:t>
      </w:r>
    </w:p>
    <w:p>
      <w:pPr>
        <w:pStyle w:val="2"/>
        <w:keepNext w:val="0"/>
        <w:keepLines w:val="0"/>
        <w:widowControl/>
        <w:suppressLineNumbers w:val="0"/>
        <w:spacing w:before="120" w:beforeAutospacing="0" w:after="120" w:afterAutospacing="0" w:line="216" w:lineRule="atLeast"/>
        <w:ind w:left="0" w:right="0" w:firstLine="720"/>
        <w:jc w:val="both"/>
      </w:pPr>
      <w:r>
        <w:rPr>
          <w:rStyle w:val="4"/>
          <w:rFonts w:hint="default" w:ascii="Times New Roman" w:hAnsi="Times New Roman" w:cs="Times New Roman"/>
          <w:i w:val="0"/>
          <w:caps w:val="0"/>
          <w:color w:val="333333"/>
          <w:spacing w:val="0"/>
          <w:sz w:val="24"/>
          <w:szCs w:val="24"/>
          <w:shd w:val="clear" w:fill="FFFFFF"/>
          <w:lang w:val="nl"/>
        </w:rPr>
        <w:t>- Trích tối thiểu 5% để lập Quỹ phát triển hoạt động sự nghiệp;</w:t>
      </w:r>
    </w:p>
    <w:p>
      <w:pPr>
        <w:pStyle w:val="2"/>
        <w:keepNext w:val="0"/>
        <w:keepLines w:val="0"/>
        <w:widowControl/>
        <w:suppressLineNumbers w:val="0"/>
        <w:spacing w:before="120" w:beforeAutospacing="0" w:after="120" w:afterAutospacing="0" w:line="216" w:lineRule="atLeast"/>
        <w:ind w:left="0" w:right="0" w:firstLine="720"/>
        <w:jc w:val="both"/>
      </w:pPr>
      <w:r>
        <w:rPr>
          <w:rStyle w:val="4"/>
          <w:rFonts w:hint="default" w:ascii="Times New Roman" w:hAnsi="Times New Roman" w:cs="Times New Roman"/>
          <w:i w:val="0"/>
          <w:caps w:val="0"/>
          <w:color w:val="333333"/>
          <w:spacing w:val="0"/>
          <w:sz w:val="24"/>
          <w:szCs w:val="24"/>
          <w:shd w:val="clear" w:fill="FFFFFF"/>
          <w:lang w:val="nl"/>
        </w:rPr>
        <w:t>- Trích lập Quỹ bổ sung thu nhập tối đa không quá 01 lần quỹ tiền lương ngạch, bậc, chức vụ và các khoản phụ cấp lương do Nhà nước quy định;</w:t>
      </w:r>
    </w:p>
    <w:p>
      <w:pPr>
        <w:pStyle w:val="2"/>
        <w:keepNext w:val="0"/>
        <w:keepLines w:val="0"/>
        <w:widowControl/>
        <w:suppressLineNumbers w:val="0"/>
        <w:spacing w:before="120" w:beforeAutospacing="0" w:after="120" w:afterAutospacing="0" w:line="216" w:lineRule="atLeast"/>
        <w:ind w:left="0" w:right="0" w:firstLine="720"/>
        <w:jc w:val="both"/>
      </w:pPr>
      <w:r>
        <w:rPr>
          <w:rStyle w:val="4"/>
          <w:rFonts w:hint="default" w:ascii="Times New Roman" w:hAnsi="Times New Roman" w:cs="Times New Roman"/>
          <w:i w:val="0"/>
          <w:caps w:val="0"/>
          <w:color w:val="333333"/>
          <w:spacing w:val="0"/>
          <w:sz w:val="24"/>
          <w:szCs w:val="24"/>
          <w:shd w:val="clear" w:fill="FFFFFF"/>
          <w:lang w:val="nl"/>
        </w:rPr>
        <w:t>- Trích lập Quỹ khen thưởng và Quỹ phúc lợi tối đa không quá 01 tháng tiền lương, tiền công bình quân thực hiện trong năm của đơn vị;</w:t>
      </w:r>
    </w:p>
    <w:p>
      <w:pPr>
        <w:pStyle w:val="2"/>
        <w:keepNext w:val="0"/>
        <w:keepLines w:val="0"/>
        <w:widowControl/>
        <w:suppressLineNumbers w:val="0"/>
        <w:spacing w:before="120" w:beforeAutospacing="0" w:after="120" w:afterAutospacing="0" w:line="216" w:lineRule="atLeast"/>
        <w:ind w:left="0" w:right="0" w:firstLine="720"/>
        <w:jc w:val="both"/>
      </w:pPr>
      <w:r>
        <w:rPr>
          <w:rStyle w:val="4"/>
          <w:rFonts w:hint="default" w:ascii="Times New Roman" w:hAnsi="Times New Roman" w:cs="Times New Roman"/>
          <w:i w:val="0"/>
          <w:caps w:val="0"/>
          <w:color w:val="333333"/>
          <w:spacing w:val="0"/>
          <w:sz w:val="24"/>
          <w:szCs w:val="24"/>
          <w:shd w:val="clear" w:fill="FFFFFF"/>
          <w:lang w:val="nl"/>
        </w:rPr>
        <w:t>- Trích lập Quỹ khác theo quy định của pháp luật (nếu có).</w:t>
      </w:r>
    </w:p>
    <w:p>
      <w:pPr>
        <w:pStyle w:val="2"/>
        <w:keepNext w:val="0"/>
        <w:keepLines w:val="0"/>
        <w:widowControl/>
        <w:suppressLineNumbers w:val="0"/>
        <w:spacing w:before="120" w:beforeAutospacing="0" w:after="120" w:afterAutospacing="0" w:line="216" w:lineRule="atLeast"/>
        <w:ind w:left="0" w:right="0" w:firstLine="720"/>
        <w:jc w:val="both"/>
      </w:pPr>
      <w:r>
        <w:rPr>
          <w:rStyle w:val="4"/>
          <w:rFonts w:hint="default" w:ascii="Times New Roman" w:hAnsi="Times New Roman" w:cs="Times New Roman"/>
          <w:i w:val="0"/>
          <w:caps w:val="0"/>
          <w:color w:val="333333"/>
          <w:spacing w:val="0"/>
          <w:sz w:val="24"/>
          <w:szCs w:val="24"/>
          <w:shd w:val="clear" w:fill="FFFFFF"/>
          <w:lang w:val="nl"/>
        </w:rPr>
        <w:t>Trường hợp chênh lệch thu lớn hơn chi bằng hoặc nhỏ hơn một lần quỹ lương ngạch, bậc, chức vụ thực hiện trong năm, đơn vị được quyết định mức trích vào các quỹ theo quy chế chi tiêu nội bộ của đơn vị.</w:t>
      </w:r>
    </w:p>
    <w:p>
      <w:pPr>
        <w:pStyle w:val="2"/>
        <w:keepNext w:val="0"/>
        <w:keepLines w:val="0"/>
        <w:widowControl/>
        <w:suppressLineNumbers w:val="0"/>
        <w:spacing w:before="120" w:beforeAutospacing="0" w:after="120" w:afterAutospacing="0" w:line="216" w:lineRule="atLeast"/>
        <w:ind w:left="0" w:right="0" w:firstLine="720"/>
        <w:jc w:val="both"/>
      </w:pPr>
      <w:r>
        <w:rPr>
          <w:rStyle w:val="4"/>
          <w:rFonts w:hint="default" w:ascii="Times New Roman" w:hAnsi="Times New Roman" w:cs="Times New Roman"/>
          <w:i w:val="0"/>
          <w:caps w:val="0"/>
          <w:color w:val="333333"/>
          <w:spacing w:val="0"/>
          <w:sz w:val="24"/>
          <w:szCs w:val="24"/>
          <w:shd w:val="clear" w:fill="FFFFFF"/>
          <w:lang w:val="nl"/>
        </w:rPr>
        <w:t>b) Mức trích cụ thể của các quỹ theo quy định tại điểm a khoản này và việc sử dụng các quỹ do thủ trưởng đơn vị quyết định theo quy chế chi tiêu nội bộ và phải công khai trong đơn vị. Nội dung chi từ các quỹ thực hiện theo quy định tại điểm b khoản 3 Điều 12 của Nghị định này.”</w:t>
      </w:r>
    </w:p>
    <w:p>
      <w:pPr>
        <w:pStyle w:val="2"/>
        <w:keepNext w:val="0"/>
        <w:keepLines w:val="0"/>
        <w:widowControl/>
        <w:suppressLineNumbers w:val="0"/>
        <w:spacing w:before="120" w:beforeAutospacing="0" w:after="0" w:afterAutospacing="0" w:line="216" w:lineRule="atLeast"/>
        <w:ind w:left="0" w:right="0" w:firstLine="720"/>
        <w:jc w:val="both"/>
        <w:textAlignment w:val="baseline"/>
      </w:pPr>
      <w:r>
        <w:rPr>
          <w:rFonts w:hint="default" w:ascii="Times New Roman" w:hAnsi="Times New Roman" w:cs="Times New Roman"/>
          <w:i w:val="0"/>
          <w:caps w:val="0"/>
          <w:color w:val="333333"/>
          <w:spacing w:val="0"/>
          <w:sz w:val="24"/>
          <w:szCs w:val="24"/>
          <w:shd w:val="clear" w:fill="FFFFFF"/>
          <w:vertAlign w:val="baseline"/>
          <w:lang w:val="nl"/>
        </w:rPr>
        <w:t>Theo đó, căn cứ tình hình tài chính, đơn vị thực hiện trích lập Quỹ bổ sung thu nhập và chi trả thu nhập tăng thêm theo quy định.</w:t>
      </w:r>
    </w:p>
    <w:p>
      <w:pPr>
        <w:pStyle w:val="2"/>
        <w:keepNext w:val="0"/>
        <w:keepLines w:val="0"/>
        <w:widowControl/>
        <w:suppressLineNumbers w:val="0"/>
        <w:spacing w:before="120" w:beforeAutospacing="0" w:line="216" w:lineRule="atLeast"/>
        <w:ind w:left="0" w:firstLine="720"/>
        <w:jc w:val="both"/>
      </w:pPr>
      <w:r>
        <w:rPr>
          <w:rFonts w:hint="default" w:ascii="Times New Roman" w:hAnsi="Times New Roman" w:cs="Times New Roman"/>
          <w:i w:val="0"/>
          <w:caps w:val="0"/>
          <w:color w:val="333333"/>
          <w:spacing w:val="0"/>
          <w:sz w:val="24"/>
          <w:szCs w:val="24"/>
          <w:bdr w:val="none" w:color="auto" w:sz="0" w:space="0"/>
          <w:shd w:val="clear" w:fill="FFFFFF"/>
          <w:lang w:val="nl"/>
        </w:rPr>
        <w:t>Bộ Tài chính trả lời để độc giả được biết và thực hiện theo quy định của pháp luật. </w:t>
      </w: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3A0955"/>
    <w:rsid w:val="643A09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 w:type="character" w:styleId="4">
    <w:name w:val="Emphasis"/>
    <w:basedOn w:val="3"/>
    <w:qFormat/>
    <w:uiPriority w:val="0"/>
    <w:rPr>
      <w:i/>
      <w:i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2020-12-21T14:28:00Z</dcterms:created>
  <dc:creator>TGDD</dc:creator>
  <cp:lastModifiedBy>TGDD</cp:lastModifiedBy>
  <dcterms:modified xsi:type="dcterms:W3CDTF">2020-12-21T14:29:02Z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