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Note"/>
      </w:pPr>
      <w:r>
        <w:rPr>
          <w:b/>
        </w:rPr>
        <w:t>研究计划  /  Research protocol</w:t>
      </w:r>
    </w:p>
    <w:p>
      <w:pPr>
        <w:pStyle w:val="Title"/>
      </w:pPr>
      <w:r>
        <w:t>介孔二氧化硅功能涂层与脉冲 UV-C 联用</w:t>
        <w:br/>
        <w:t>对淡水生物膜附着的影响</w:t>
      </w:r>
    </w:p>
    <w:p>
      <w:pPr>
        <w:pStyle w:val="Lead"/>
      </w:pPr>
      <w:r>
        <w:t>室内低流速微宇宙试验方案（实验前讨论稿）</w:t>
      </w:r>
    </w:p>
    <w:tbl>
      <w:tblPr>
        <w:tblW w:type="auto" w:w="0"/>
        <w:tblLayout w:type="fixed"/>
        <w:tblLook w:firstColumn="1" w:firstRow="1" w:lastColumn="0" w:lastRow="0" w:noHBand="0" w:noVBand="1" w:val="04A0"/>
      </w:tblPr>
      <w:tblGrid>
        <w:gridCol w:w="2324"/>
        <w:gridCol w:w="2324"/>
        <w:gridCol w:w="2324"/>
        <w:gridCol w:w="2324"/>
      </w:tblGrid>
      <w:tr>
        <w:tc>
          <w:tcPr>
            <w:tcW w:type="dxa" w:w="2324"/>
            <w:tcBorders>
              <w:top w:val="single" w:color="E2EAF0" w:sz="4"/>
              <w:left w:val="single" w:color="E2EAF0" w:sz="4"/>
              <w:bottom w:val="single" w:color="E2EAF0" w:sz="4"/>
              <w:right w:val="single" w:color="E2EAF0" w:sz="4"/>
            </w:tcBorders>
            <w:shd w:fill="F0F5F8"/>
          </w:tcPr>
          <w:p>
            <w:pPr>
              <w:spacing w:after="40"/>
            </w:pPr>
            <w:r>
              <w:rPr>
                <w:sz w:val="17"/>
              </w:rPr>
              <w:t>方案版本</w:t>
            </w:r>
          </w:p>
        </w:tc>
        <w:tc>
          <w:tcPr>
            <w:tcW w:type="dxa" w:w="2324"/>
            <w:tcBorders>
              <w:top w:val="single" w:color="E2EAF0" w:sz="4"/>
              <w:left w:val="single" w:color="E2EAF0" w:sz="4"/>
              <w:bottom w:val="single" w:color="E2EAF0" w:sz="4"/>
              <w:right w:val="single" w:color="E2EAF0" w:sz="4"/>
            </w:tcBorders>
          </w:tcPr>
          <w:p>
            <w:pPr>
              <w:spacing w:after="40"/>
            </w:pPr>
            <w:r>
              <w:rPr>
                <w:sz w:val="17"/>
              </w:rPr>
              <w:t>v0.4</w:t>
            </w:r>
          </w:p>
        </w:tc>
        <w:tc>
          <w:tcPr>
            <w:tcW w:type="dxa" w:w="2324"/>
            <w:tcBorders>
              <w:top w:val="single" w:color="E2EAF0" w:sz="4"/>
              <w:left w:val="single" w:color="E2EAF0" w:sz="4"/>
              <w:bottom w:val="single" w:color="E2EAF0" w:sz="4"/>
              <w:right w:val="single" w:color="E2EAF0" w:sz="4"/>
            </w:tcBorders>
            <w:shd w:fill="F0F5F8"/>
          </w:tcPr>
          <w:p>
            <w:pPr>
              <w:spacing w:after="40"/>
            </w:pPr>
            <w:r>
              <w:rPr>
                <w:sz w:val="17"/>
              </w:rPr>
              <w:t>拟定日期</w:t>
            </w:r>
          </w:p>
        </w:tc>
        <w:tc>
          <w:tcPr>
            <w:tcW w:type="dxa" w:w="2324"/>
            <w:tcBorders>
              <w:top w:val="single" w:color="E2EAF0" w:sz="4"/>
              <w:left w:val="single" w:color="E2EAF0" w:sz="4"/>
              <w:bottom w:val="single" w:color="E2EAF0" w:sz="4"/>
              <w:right w:val="single" w:color="E2EAF0" w:sz="4"/>
            </w:tcBorders>
          </w:tcPr>
          <w:p>
            <w:pPr>
              <w:spacing w:after="40"/>
            </w:pPr>
            <w:r>
              <w:rPr>
                <w:sz w:val="17"/>
              </w:rPr>
              <w:t>2026-10-25</w:t>
            </w:r>
          </w:p>
        </w:tc>
      </w:tr>
      <w:tr>
        <w:tc>
          <w:tcPr>
            <w:tcW w:type="dxa" w:w="2324"/>
            <w:tcBorders>
              <w:top w:val="single" w:color="E2EAF0" w:sz="4"/>
              <w:left w:val="single" w:color="E2EAF0" w:sz="4"/>
              <w:bottom w:val="single" w:color="E2EAF0" w:sz="4"/>
              <w:right w:val="single" w:color="E2EAF0" w:sz="4"/>
            </w:tcBorders>
            <w:shd w:fill="F0F5F8"/>
          </w:tcPr>
          <w:p>
            <w:pPr>
              <w:spacing w:after="40"/>
            </w:pPr>
            <w:r>
              <w:rPr>
                <w:sz w:val="17"/>
              </w:rPr>
              <w:t>研究方向</w:t>
            </w:r>
          </w:p>
        </w:tc>
        <w:tc>
          <w:tcPr>
            <w:tcW w:type="dxa" w:w="2324"/>
            <w:tcBorders>
              <w:top w:val="single" w:color="E2EAF0" w:sz="4"/>
              <w:left w:val="single" w:color="E2EAF0" w:sz="4"/>
              <w:bottom w:val="single" w:color="E2EAF0" w:sz="4"/>
              <w:right w:val="single" w:color="E2EAF0" w:sz="4"/>
            </w:tcBorders>
          </w:tcPr>
          <w:p>
            <w:pPr>
              <w:spacing w:after="40"/>
            </w:pPr>
            <w:r>
              <w:rPr>
                <w:sz w:val="17"/>
              </w:rPr>
              <w:t>淡水防污与功能涂层</w:t>
            </w:r>
          </w:p>
        </w:tc>
        <w:tc>
          <w:tcPr>
            <w:tcW w:type="dxa" w:w="2324"/>
            <w:tcBorders>
              <w:top w:val="single" w:color="E2EAF0" w:sz="4"/>
              <w:left w:val="single" w:color="E2EAF0" w:sz="4"/>
              <w:bottom w:val="single" w:color="E2EAF0" w:sz="4"/>
              <w:right w:val="single" w:color="E2EAF0" w:sz="4"/>
            </w:tcBorders>
            <w:shd w:fill="F0F5F8"/>
          </w:tcPr>
          <w:p>
            <w:pPr>
              <w:spacing w:after="40"/>
            </w:pPr>
            <w:r>
              <w:rPr>
                <w:sz w:val="17"/>
              </w:rPr>
              <w:t>计划周期</w:t>
            </w:r>
          </w:p>
        </w:tc>
        <w:tc>
          <w:tcPr>
            <w:tcW w:type="dxa" w:w="2324"/>
            <w:tcBorders>
              <w:top w:val="single" w:color="E2EAF0" w:sz="4"/>
              <w:left w:val="single" w:color="E2EAF0" w:sz="4"/>
              <w:bottom w:val="single" w:color="E2EAF0" w:sz="4"/>
              <w:right w:val="single" w:color="E2EAF0" w:sz="4"/>
            </w:tcBorders>
          </w:tcPr>
          <w:p>
            <w:pPr>
              <w:spacing w:after="40"/>
            </w:pPr>
            <w:r>
              <w:rPr>
                <w:sz w:val="17"/>
              </w:rPr>
              <w:t>21 d</w:t>
            </w:r>
          </w:p>
        </w:tc>
      </w:tr>
    </w:tbl>
    <w:p>
      <w:pPr>
        <w:spacing w:after="0"/>
      </w:pPr>
    </w:p>
    <w:p>
      <w:pPr>
        <w:pStyle w:val="Heading1"/>
      </w:pPr>
      <w:r>
        <w:t>1  研究背景、目标与假设</w:t>
      </w:r>
    </w:p>
    <w:p>
      <w:r>
        <w:t>天然淡水中的微生物可在浸没表面形成生物膜，进而促进后续污损。功能涂层与物理防污手段的联用，可能降低附着量并改善长时间运行稳定性。本方案拟在室内低流速水体中，对比普通树脂涂层、添加功能颗粒的涂层及脉冲 UV-C 处理的防污效果。</w:t>
      </w:r>
    </w:p>
    <w:p>
      <w:r>
        <w:rPr>
          <w:b/>
        </w:rPr>
        <w:t>研究目标：</w:t>
      </w:r>
      <w:r>
        <w:t>评价介孔二氧化硅负载植物源活性组分（以下简称“功能颗粒”）对涂层防污性能的影响，分析其与脉冲 UV-C 之间是否存在协同效应，并讨论涂层润湿性变化在附着抑制中的作用。</w:t>
      </w:r>
    </w:p>
    <w:p>
      <w:r>
        <w:t>拟验证假设 H1：功能颗粒掺入涂层后，可降低附着生物量。</w:t>
      </w:r>
    </w:p>
    <w:p>
      <w:r>
        <w:t>拟验证假设 H2：功能涂层与 UV-C 联用时，附着量下降幅度高于单独施加其中任一措施，表明二者存在协同抑制。</w:t>
      </w:r>
    </w:p>
    <w:p>
      <w:r>
        <w:t>拟验证假设 H3：功能颗粒主要通过改变涂层表面润湿性，减少初期微生物附着。</w:t>
      </w:r>
    </w:p>
    <w:p>
      <w:pPr>
        <w:pStyle w:val="Heading1"/>
      </w:pPr>
      <w:r>
        <w:t>2  实验材料与室内微宇宙体系</w:t>
      </w:r>
    </w:p>
    <w:p>
      <w:pPr>
        <w:pStyle w:val="Heading2"/>
      </w:pPr>
      <w:r>
        <w:t>2.1  基材与涂层制备</w:t>
      </w:r>
    </w:p>
    <w:p>
      <w:r>
        <w:t>选用 304 不锈钢挂板，规格为 25 mm × 25 mm × 2 mm。挂板经过统一打磨、乙醇清洁、自然干燥后使用。基础涂层为实验室常用的丙烯酸树脂体系，干膜厚度控制在约 80 ± 15 μm。功能颗粒在涂层中的投加量按干膜质量的 1.5% 计。涂层全部在同一批次内制备，室温固化 72 h。</w:t>
      </w:r>
    </w:p>
    <w:p>
      <w:r>
        <w:t>功能颗粒先以少量有机助溶剂预分散，再加入树脂混合液；未添加功能颗粒的基础涂层按原配方制备。配制时记录涂层外观与干膜厚度，不另设置助溶剂单独处理组。</w:t>
      </w:r>
    </w:p>
    <w:p>
      <w:pPr>
        <w:pStyle w:val="Heading2"/>
      </w:pPr>
      <w:r>
        <w:t>2.2  水体与设备</w:t>
      </w:r>
    </w:p>
    <w:p>
      <w:r>
        <w:t>试验水取自某城市湖泊近岸区域，在同日上午采集约 60 L，混合后经粗筛去除大型杂质，不进行灭菌。所有反应容器均使用该批水样。设置两套独立的 20 L 玻璃水槽，分别标记为 A 和 B。水槽持续曝气及低速循环，水温控制在 23 ± 1 ℃。每隔 7 d 补充同一储存桶中的备用水，以维持液位。</w:t>
      </w:r>
    </w:p>
    <w:p>
      <w:r>
        <w:t>UV-C 模块安装在 B 水槽上方，发射波长为 275 nm，每日 09:00 开启 15 min；A 水槽不安装光源。灯具输出由供应商给出的额定辐照参数表征，首次安装时在空气中、距灯面 3 cm 处测量辐照度。实验期间暂不进行挂板表面的水下实际辐照剂量测定。</w:t>
      </w:r>
    </w:p>
    <w:p>
      <w:pPr>
        <w:pStyle w:val="Heading1"/>
      </w:pPr>
      <w:r>
        <w:t>3  实验分组、布置与重复设置</w:t>
      </w:r>
    </w:p>
    <w:p>
      <w:r>
        <w:t>各组按表 1 设置。每组设置 3 片挂板，共计 15 片。所有挂板固定在水槽侧壁挂架上，各组挂板按编号顺序依次排列，运行期间不调整位置。</w:t>
      </w:r>
    </w:p>
    <w:p>
      <w:pPr>
        <w:pStyle w:val="SmallNote"/>
      </w:pPr>
      <w:r>
        <w:t>表 1  处理分组与布置</w:t>
      </w:r>
    </w:p>
    <w:tbl>
      <w:tblPr>
        <w:tblStyle w:val="TableGrid"/>
        <w:tblW w:type="auto" w:w="0"/>
        <w:jc w:val="center"/>
        <w:tblLayout w:type="fixed"/>
        <w:tblLook w:firstColumn="1" w:firstRow="1" w:lastColumn="0" w:lastRow="0" w:noHBand="0" w:noVBand="1" w:val="04A0"/>
      </w:tblPr>
      <w:tblGrid>
        <w:gridCol w:w="1550"/>
        <w:gridCol w:w="1550"/>
        <w:gridCol w:w="1550"/>
        <w:gridCol w:w="1550"/>
        <w:gridCol w:w="1550"/>
        <w:gridCol w:w="1550"/>
      </w:tblGrid>
      <w:tr>
        <w:trPr>
          <w:tblHeader w:val="true"/>
        </w:trPr>
        <w:tc>
          <w:tcPr>
            <w:tcW w:type="dxa" w:w="652"/>
            <w:shd w:fill="E7EFF4"/>
            <w:vAlign w:val="center"/>
            <w:tcBorders>
              <w:top w:val="single" w:color="D7E1E7" w:sz="4"/>
              <w:left w:val="single" w:color="D7E1E7" w:sz="4"/>
              <w:bottom w:val="single" w:color="D7E1E7" w:sz="4"/>
              <w:right w:val="single" w:color="D7E1E7" w:sz="4"/>
            </w:tcBorders>
          </w:tcPr>
          <w:p>
            <w:pPr>
              <w:spacing w:after="20" w:before="20"/>
            </w:pPr>
            <w:r>
              <w:rPr>
                <w:rFonts w:ascii="微软雅黑" w:hAnsi="微软雅黑" w:eastAsia="微软雅黑"/>
                <w:b/>
                <w:sz w:val="18"/>
              </w:rPr>
              <w:t>编号</w:t>
            </w:r>
          </w:p>
        </w:tc>
        <w:tc>
          <w:tcPr>
            <w:tcW w:type="dxa" w:w="2268"/>
            <w:shd w:fill="E7EFF4"/>
            <w:vAlign w:val="center"/>
            <w:tcBorders>
              <w:top w:val="single" w:color="D7E1E7" w:sz="4"/>
              <w:left w:val="single" w:color="D7E1E7" w:sz="4"/>
              <w:bottom w:val="single" w:color="D7E1E7" w:sz="4"/>
              <w:right w:val="single" w:color="D7E1E7" w:sz="4"/>
            </w:tcBorders>
          </w:tcPr>
          <w:p>
            <w:pPr>
              <w:spacing w:after="20" w:before="20"/>
            </w:pPr>
            <w:r>
              <w:rPr>
                <w:rFonts w:ascii="微软雅黑" w:hAnsi="微软雅黑" w:eastAsia="微软雅黑"/>
                <w:b/>
                <w:sz w:val="18"/>
              </w:rPr>
              <w:t>基材 / 涂层</w:t>
            </w:r>
          </w:p>
        </w:tc>
        <w:tc>
          <w:tcPr>
            <w:tcW w:type="dxa" w:w="1531"/>
            <w:shd w:fill="E7EFF4"/>
            <w:vAlign w:val="center"/>
            <w:tcBorders>
              <w:top w:val="single" w:color="D7E1E7" w:sz="4"/>
              <w:left w:val="single" w:color="D7E1E7" w:sz="4"/>
              <w:bottom w:val="single" w:color="D7E1E7" w:sz="4"/>
              <w:right w:val="single" w:color="D7E1E7" w:sz="4"/>
            </w:tcBorders>
          </w:tcPr>
          <w:p>
            <w:pPr>
              <w:spacing w:after="20" w:before="20"/>
            </w:pPr>
            <w:r>
              <w:rPr>
                <w:rFonts w:ascii="微软雅黑" w:hAnsi="微软雅黑" w:eastAsia="微软雅黑"/>
                <w:b/>
                <w:sz w:val="18"/>
              </w:rPr>
              <w:t>功能颗粒</w:t>
            </w:r>
          </w:p>
        </w:tc>
        <w:tc>
          <w:tcPr>
            <w:tcW w:type="dxa" w:w="1389"/>
            <w:shd w:fill="E7EFF4"/>
            <w:vAlign w:val="center"/>
            <w:tcBorders>
              <w:top w:val="single" w:color="D7E1E7" w:sz="4"/>
              <w:left w:val="single" w:color="D7E1E7" w:sz="4"/>
              <w:bottom w:val="single" w:color="D7E1E7" w:sz="4"/>
              <w:right w:val="single" w:color="D7E1E7" w:sz="4"/>
            </w:tcBorders>
          </w:tcPr>
          <w:p>
            <w:pPr>
              <w:spacing w:after="20" w:before="20"/>
            </w:pPr>
            <w:r>
              <w:rPr>
                <w:rFonts w:ascii="微软雅黑" w:hAnsi="微软雅黑" w:eastAsia="微软雅黑"/>
                <w:b/>
                <w:sz w:val="18"/>
              </w:rPr>
              <w:t>脉冲 UV-C</w:t>
            </w:r>
          </w:p>
        </w:tc>
        <w:tc>
          <w:tcPr>
            <w:tcW w:type="dxa" w:w="1304"/>
            <w:shd w:fill="E7EFF4"/>
            <w:vAlign w:val="center"/>
            <w:tcBorders>
              <w:top w:val="single" w:color="D7E1E7" w:sz="4"/>
              <w:left w:val="single" w:color="D7E1E7" w:sz="4"/>
              <w:bottom w:val="single" w:color="D7E1E7" w:sz="4"/>
              <w:right w:val="single" w:color="D7E1E7" w:sz="4"/>
            </w:tcBorders>
          </w:tcPr>
          <w:p>
            <w:pPr>
              <w:spacing w:after="20" w:before="20"/>
            </w:pPr>
            <w:r>
              <w:rPr>
                <w:rFonts w:ascii="微软雅黑" w:hAnsi="微软雅黑" w:eastAsia="微软雅黑"/>
                <w:b/>
                <w:sz w:val="18"/>
              </w:rPr>
              <w:t>所在水槽</w:t>
            </w:r>
          </w:p>
        </w:tc>
        <w:tc>
          <w:tcPr>
            <w:tcW w:type="dxa" w:w="1134"/>
            <w:shd w:fill="E7EFF4"/>
            <w:vAlign w:val="center"/>
            <w:tcBorders>
              <w:top w:val="single" w:color="D7E1E7" w:sz="4"/>
              <w:left w:val="single" w:color="D7E1E7" w:sz="4"/>
              <w:bottom w:val="single" w:color="D7E1E7" w:sz="4"/>
              <w:right w:val="single" w:color="D7E1E7" w:sz="4"/>
            </w:tcBorders>
          </w:tcPr>
          <w:p>
            <w:pPr>
              <w:spacing w:after="20" w:before="20"/>
            </w:pPr>
            <w:r>
              <w:rPr>
                <w:rFonts w:ascii="微软雅黑" w:hAnsi="微软雅黑" w:eastAsia="微软雅黑"/>
                <w:b/>
                <w:sz w:val="18"/>
              </w:rPr>
              <w:t>平行数</w:t>
            </w:r>
          </w:p>
        </w:tc>
      </w:tr>
      <w:tr>
        <w:tc>
          <w:tcPr>
            <w:tcW w:type="dxa" w:w="652"/>
            <w:vAlign w:val="center"/>
            <w:tcBorders>
              <w:top w:val="single" w:color="D7E1E7" w:sz="4"/>
              <w:left w:val="single" w:color="D7E1E7" w:sz="4"/>
              <w:bottom w:val="single" w:color="D7E1E7" w:sz="4"/>
              <w:right w:val="single" w:color="D7E1E7" w:sz="4"/>
            </w:tcBorders>
          </w:tcPr>
          <w:p>
            <w:pPr>
              <w:spacing w:after="20" w:before="20" w:line="278" w:lineRule="auto"/>
            </w:pPr>
            <w:r>
              <w:rPr>
                <w:rFonts w:ascii="宋体" w:hAnsi="宋体" w:eastAsia="宋体"/>
                <w:sz w:val="17"/>
              </w:rPr>
              <w:t>B0</w:t>
            </w:r>
          </w:p>
        </w:tc>
        <w:tc>
          <w:tcPr>
            <w:tcW w:type="dxa" w:w="2268"/>
            <w:vAlign w:val="center"/>
            <w:tcBorders>
              <w:top w:val="single" w:color="D7E1E7" w:sz="4"/>
              <w:left w:val="single" w:color="D7E1E7" w:sz="4"/>
              <w:bottom w:val="single" w:color="D7E1E7" w:sz="4"/>
              <w:right w:val="single" w:color="D7E1E7" w:sz="4"/>
            </w:tcBorders>
          </w:tcPr>
          <w:p>
            <w:pPr>
              <w:spacing w:after="20" w:before="20" w:line="278" w:lineRule="auto"/>
            </w:pPr>
            <w:r>
              <w:rPr>
                <w:rFonts w:ascii="宋体" w:hAnsi="宋体" w:eastAsia="宋体"/>
                <w:sz w:val="17"/>
              </w:rPr>
              <w:t>裸不锈钢</w:t>
            </w:r>
          </w:p>
        </w:tc>
        <w:tc>
          <w:tcPr>
            <w:tcW w:type="dxa" w:w="1531"/>
            <w:vAlign w:val="center"/>
            <w:tcBorders>
              <w:top w:val="single" w:color="D7E1E7" w:sz="4"/>
              <w:left w:val="single" w:color="D7E1E7" w:sz="4"/>
              <w:bottom w:val="single" w:color="D7E1E7" w:sz="4"/>
              <w:right w:val="single" w:color="D7E1E7" w:sz="4"/>
            </w:tcBorders>
          </w:tcPr>
          <w:p>
            <w:pPr>
              <w:spacing w:after="20" w:before="20" w:line="278" w:lineRule="auto"/>
            </w:pPr>
            <w:r>
              <w:rPr>
                <w:rFonts w:ascii="宋体" w:hAnsi="宋体" w:eastAsia="宋体"/>
                <w:sz w:val="17"/>
              </w:rPr>
              <w:t>—</w:t>
            </w:r>
          </w:p>
        </w:tc>
        <w:tc>
          <w:tcPr>
            <w:tcW w:type="dxa" w:w="1389"/>
            <w:vAlign w:val="center"/>
            <w:tcBorders>
              <w:top w:val="single" w:color="D7E1E7" w:sz="4"/>
              <w:left w:val="single" w:color="D7E1E7" w:sz="4"/>
              <w:bottom w:val="single" w:color="D7E1E7" w:sz="4"/>
              <w:right w:val="single" w:color="D7E1E7" w:sz="4"/>
            </w:tcBorders>
          </w:tcPr>
          <w:p>
            <w:pPr>
              <w:spacing w:after="20" w:before="20" w:line="278" w:lineRule="auto"/>
            </w:pPr>
            <w:r>
              <w:rPr>
                <w:rFonts w:ascii="宋体" w:hAnsi="宋体" w:eastAsia="宋体"/>
                <w:sz w:val="17"/>
              </w:rPr>
              <w:t>否</w:t>
            </w:r>
          </w:p>
        </w:tc>
        <w:tc>
          <w:tcPr>
            <w:tcW w:type="dxa" w:w="1304"/>
            <w:vAlign w:val="center"/>
            <w:tcBorders>
              <w:top w:val="single" w:color="D7E1E7" w:sz="4"/>
              <w:left w:val="single" w:color="D7E1E7" w:sz="4"/>
              <w:bottom w:val="single" w:color="D7E1E7" w:sz="4"/>
              <w:right w:val="single" w:color="D7E1E7" w:sz="4"/>
            </w:tcBorders>
          </w:tcPr>
          <w:p>
            <w:pPr>
              <w:spacing w:after="20" w:before="20" w:line="278" w:lineRule="auto"/>
            </w:pPr>
            <w:r>
              <w:rPr>
                <w:rFonts w:ascii="宋体" w:hAnsi="宋体" w:eastAsia="宋体"/>
                <w:sz w:val="17"/>
              </w:rPr>
              <w:t>A</w:t>
            </w:r>
          </w:p>
        </w:tc>
        <w:tc>
          <w:tcPr>
            <w:tcW w:type="dxa" w:w="1134"/>
            <w:vAlign w:val="center"/>
            <w:tcBorders>
              <w:top w:val="single" w:color="D7E1E7" w:sz="4"/>
              <w:left w:val="single" w:color="D7E1E7" w:sz="4"/>
              <w:bottom w:val="single" w:color="D7E1E7" w:sz="4"/>
              <w:right w:val="single" w:color="D7E1E7" w:sz="4"/>
            </w:tcBorders>
          </w:tcPr>
          <w:p>
            <w:pPr>
              <w:spacing w:after="20" w:before="20" w:line="278" w:lineRule="auto"/>
            </w:pPr>
            <w:r>
              <w:rPr>
                <w:rFonts w:ascii="宋体" w:hAnsi="宋体" w:eastAsia="宋体"/>
                <w:sz w:val="17"/>
              </w:rPr>
              <w:t>3 片</w:t>
            </w:r>
          </w:p>
        </w:tc>
      </w:tr>
      <w:tr>
        <w:tc>
          <w:tcPr>
            <w:tcW w:type="dxa" w:w="652"/>
            <w:vAlign w:val="center"/>
            <w:tcBorders>
              <w:top w:val="single" w:color="D7E1E7" w:sz="4"/>
              <w:left w:val="single" w:color="D7E1E7" w:sz="4"/>
              <w:bottom w:val="single" w:color="D7E1E7" w:sz="4"/>
              <w:right w:val="single" w:color="D7E1E7" w:sz="4"/>
            </w:tcBorders>
            <w:shd w:fill="F7FAFB"/>
          </w:tcPr>
          <w:p>
            <w:pPr>
              <w:spacing w:after="20" w:before="20" w:line="278" w:lineRule="auto"/>
            </w:pPr>
            <w:r>
              <w:rPr>
                <w:rFonts w:ascii="宋体" w:hAnsi="宋体" w:eastAsia="宋体"/>
                <w:sz w:val="17"/>
              </w:rPr>
              <w:t>B1</w:t>
            </w:r>
          </w:p>
        </w:tc>
        <w:tc>
          <w:tcPr>
            <w:tcW w:type="dxa" w:w="2268"/>
            <w:vAlign w:val="center"/>
            <w:tcBorders>
              <w:top w:val="single" w:color="D7E1E7" w:sz="4"/>
              <w:left w:val="single" w:color="D7E1E7" w:sz="4"/>
              <w:bottom w:val="single" w:color="D7E1E7" w:sz="4"/>
              <w:right w:val="single" w:color="D7E1E7" w:sz="4"/>
            </w:tcBorders>
            <w:shd w:fill="F7FAFB"/>
          </w:tcPr>
          <w:p>
            <w:pPr>
              <w:spacing w:after="20" w:before="20" w:line="278" w:lineRule="auto"/>
            </w:pPr>
            <w:r>
              <w:rPr>
                <w:rFonts w:ascii="宋体" w:hAnsi="宋体" w:eastAsia="宋体"/>
                <w:sz w:val="17"/>
              </w:rPr>
              <w:t>基础涂层</w:t>
            </w:r>
          </w:p>
        </w:tc>
        <w:tc>
          <w:tcPr>
            <w:tcW w:type="dxa" w:w="1531"/>
            <w:vAlign w:val="center"/>
            <w:tcBorders>
              <w:top w:val="single" w:color="D7E1E7" w:sz="4"/>
              <w:left w:val="single" w:color="D7E1E7" w:sz="4"/>
              <w:bottom w:val="single" w:color="D7E1E7" w:sz="4"/>
              <w:right w:val="single" w:color="D7E1E7" w:sz="4"/>
            </w:tcBorders>
            <w:shd w:fill="F7FAFB"/>
          </w:tcPr>
          <w:p>
            <w:pPr>
              <w:spacing w:after="20" w:before="20" w:line="278" w:lineRule="auto"/>
            </w:pPr>
            <w:r>
              <w:rPr>
                <w:rFonts w:ascii="宋体" w:hAnsi="宋体" w:eastAsia="宋体"/>
                <w:sz w:val="17"/>
              </w:rPr>
              <w:t>—</w:t>
            </w:r>
          </w:p>
        </w:tc>
        <w:tc>
          <w:tcPr>
            <w:tcW w:type="dxa" w:w="1389"/>
            <w:vAlign w:val="center"/>
            <w:tcBorders>
              <w:top w:val="single" w:color="D7E1E7" w:sz="4"/>
              <w:left w:val="single" w:color="D7E1E7" w:sz="4"/>
              <w:bottom w:val="single" w:color="D7E1E7" w:sz="4"/>
              <w:right w:val="single" w:color="D7E1E7" w:sz="4"/>
            </w:tcBorders>
            <w:shd w:fill="F7FAFB"/>
          </w:tcPr>
          <w:p>
            <w:pPr>
              <w:spacing w:after="20" w:before="20" w:line="278" w:lineRule="auto"/>
            </w:pPr>
            <w:r>
              <w:rPr>
                <w:rFonts w:ascii="宋体" w:hAnsi="宋体" w:eastAsia="宋体"/>
                <w:sz w:val="17"/>
              </w:rPr>
              <w:t>否</w:t>
            </w:r>
          </w:p>
        </w:tc>
        <w:tc>
          <w:tcPr>
            <w:tcW w:type="dxa" w:w="1304"/>
            <w:vAlign w:val="center"/>
            <w:tcBorders>
              <w:top w:val="single" w:color="D7E1E7" w:sz="4"/>
              <w:left w:val="single" w:color="D7E1E7" w:sz="4"/>
              <w:bottom w:val="single" w:color="D7E1E7" w:sz="4"/>
              <w:right w:val="single" w:color="D7E1E7" w:sz="4"/>
            </w:tcBorders>
            <w:shd w:fill="F7FAFB"/>
          </w:tcPr>
          <w:p>
            <w:pPr>
              <w:spacing w:after="20" w:before="20" w:line="278" w:lineRule="auto"/>
            </w:pPr>
            <w:r>
              <w:rPr>
                <w:rFonts w:ascii="宋体" w:hAnsi="宋体" w:eastAsia="宋体"/>
                <w:sz w:val="17"/>
              </w:rPr>
              <w:t>A</w:t>
            </w:r>
          </w:p>
        </w:tc>
        <w:tc>
          <w:tcPr>
            <w:tcW w:type="dxa" w:w="1134"/>
            <w:vAlign w:val="center"/>
            <w:tcBorders>
              <w:top w:val="single" w:color="D7E1E7" w:sz="4"/>
              <w:left w:val="single" w:color="D7E1E7" w:sz="4"/>
              <w:bottom w:val="single" w:color="D7E1E7" w:sz="4"/>
              <w:right w:val="single" w:color="D7E1E7" w:sz="4"/>
            </w:tcBorders>
            <w:shd w:fill="F7FAFB"/>
          </w:tcPr>
          <w:p>
            <w:pPr>
              <w:spacing w:after="20" w:before="20" w:line="278" w:lineRule="auto"/>
            </w:pPr>
            <w:r>
              <w:rPr>
                <w:rFonts w:ascii="宋体" w:hAnsi="宋体" w:eastAsia="宋体"/>
                <w:sz w:val="17"/>
              </w:rPr>
              <w:t>3 片</w:t>
            </w:r>
          </w:p>
        </w:tc>
      </w:tr>
      <w:tr>
        <w:tc>
          <w:tcPr>
            <w:tcW w:type="dxa" w:w="652"/>
            <w:vAlign w:val="center"/>
            <w:tcBorders>
              <w:top w:val="single" w:color="D7E1E7" w:sz="4"/>
              <w:left w:val="single" w:color="D7E1E7" w:sz="4"/>
              <w:bottom w:val="single" w:color="D7E1E7" w:sz="4"/>
              <w:right w:val="single" w:color="D7E1E7" w:sz="4"/>
            </w:tcBorders>
          </w:tcPr>
          <w:p>
            <w:pPr>
              <w:spacing w:after="20" w:before="20" w:line="278" w:lineRule="auto"/>
            </w:pPr>
            <w:r>
              <w:rPr>
                <w:rFonts w:ascii="宋体" w:hAnsi="宋体" w:eastAsia="宋体"/>
                <w:sz w:val="17"/>
              </w:rPr>
              <w:t>B2</w:t>
            </w:r>
          </w:p>
        </w:tc>
        <w:tc>
          <w:tcPr>
            <w:tcW w:type="dxa" w:w="2268"/>
            <w:vAlign w:val="center"/>
            <w:tcBorders>
              <w:top w:val="single" w:color="D7E1E7" w:sz="4"/>
              <w:left w:val="single" w:color="D7E1E7" w:sz="4"/>
              <w:bottom w:val="single" w:color="D7E1E7" w:sz="4"/>
              <w:right w:val="single" w:color="D7E1E7" w:sz="4"/>
            </w:tcBorders>
          </w:tcPr>
          <w:p>
            <w:pPr>
              <w:spacing w:after="20" w:before="20" w:line="278" w:lineRule="auto"/>
            </w:pPr>
            <w:r>
              <w:rPr>
                <w:rFonts w:ascii="宋体" w:hAnsi="宋体" w:eastAsia="宋体"/>
                <w:sz w:val="17"/>
              </w:rPr>
              <w:t>功能涂层</w:t>
            </w:r>
          </w:p>
        </w:tc>
        <w:tc>
          <w:tcPr>
            <w:tcW w:type="dxa" w:w="1531"/>
            <w:vAlign w:val="center"/>
            <w:tcBorders>
              <w:top w:val="single" w:color="D7E1E7" w:sz="4"/>
              <w:left w:val="single" w:color="D7E1E7" w:sz="4"/>
              <w:bottom w:val="single" w:color="D7E1E7" w:sz="4"/>
              <w:right w:val="single" w:color="D7E1E7" w:sz="4"/>
            </w:tcBorders>
          </w:tcPr>
          <w:p>
            <w:pPr>
              <w:spacing w:after="20" w:before="20" w:line="278" w:lineRule="auto"/>
            </w:pPr>
            <w:r>
              <w:rPr>
                <w:rFonts w:ascii="宋体" w:hAnsi="宋体" w:eastAsia="宋体"/>
                <w:sz w:val="17"/>
              </w:rPr>
              <w:t>1.5%</w:t>
            </w:r>
          </w:p>
        </w:tc>
        <w:tc>
          <w:tcPr>
            <w:tcW w:type="dxa" w:w="1389"/>
            <w:vAlign w:val="center"/>
            <w:tcBorders>
              <w:top w:val="single" w:color="D7E1E7" w:sz="4"/>
              <w:left w:val="single" w:color="D7E1E7" w:sz="4"/>
              <w:bottom w:val="single" w:color="D7E1E7" w:sz="4"/>
              <w:right w:val="single" w:color="D7E1E7" w:sz="4"/>
            </w:tcBorders>
          </w:tcPr>
          <w:p>
            <w:pPr>
              <w:spacing w:after="20" w:before="20" w:line="278" w:lineRule="auto"/>
            </w:pPr>
            <w:r>
              <w:rPr>
                <w:rFonts w:ascii="宋体" w:hAnsi="宋体" w:eastAsia="宋体"/>
                <w:sz w:val="17"/>
              </w:rPr>
              <w:t>否</w:t>
            </w:r>
          </w:p>
        </w:tc>
        <w:tc>
          <w:tcPr>
            <w:tcW w:type="dxa" w:w="1304"/>
            <w:vAlign w:val="center"/>
            <w:tcBorders>
              <w:top w:val="single" w:color="D7E1E7" w:sz="4"/>
              <w:left w:val="single" w:color="D7E1E7" w:sz="4"/>
              <w:bottom w:val="single" w:color="D7E1E7" w:sz="4"/>
              <w:right w:val="single" w:color="D7E1E7" w:sz="4"/>
            </w:tcBorders>
          </w:tcPr>
          <w:p>
            <w:pPr>
              <w:spacing w:after="20" w:before="20" w:line="278" w:lineRule="auto"/>
            </w:pPr>
            <w:r>
              <w:rPr>
                <w:rFonts w:ascii="宋体" w:hAnsi="宋体" w:eastAsia="宋体"/>
                <w:sz w:val="17"/>
              </w:rPr>
              <w:t>A</w:t>
            </w:r>
          </w:p>
        </w:tc>
        <w:tc>
          <w:tcPr>
            <w:tcW w:type="dxa" w:w="1134"/>
            <w:vAlign w:val="center"/>
            <w:tcBorders>
              <w:top w:val="single" w:color="D7E1E7" w:sz="4"/>
              <w:left w:val="single" w:color="D7E1E7" w:sz="4"/>
              <w:bottom w:val="single" w:color="D7E1E7" w:sz="4"/>
              <w:right w:val="single" w:color="D7E1E7" w:sz="4"/>
            </w:tcBorders>
          </w:tcPr>
          <w:p>
            <w:pPr>
              <w:spacing w:after="20" w:before="20" w:line="278" w:lineRule="auto"/>
            </w:pPr>
            <w:r>
              <w:rPr>
                <w:rFonts w:ascii="宋体" w:hAnsi="宋体" w:eastAsia="宋体"/>
                <w:sz w:val="17"/>
              </w:rPr>
              <w:t>3 片</w:t>
            </w:r>
          </w:p>
        </w:tc>
      </w:tr>
      <w:tr>
        <w:tc>
          <w:tcPr>
            <w:tcW w:type="dxa" w:w="652"/>
            <w:vAlign w:val="center"/>
            <w:tcBorders>
              <w:top w:val="single" w:color="D7E1E7" w:sz="4"/>
              <w:left w:val="single" w:color="D7E1E7" w:sz="4"/>
              <w:bottom w:val="single" w:color="D7E1E7" w:sz="4"/>
              <w:right w:val="single" w:color="D7E1E7" w:sz="4"/>
            </w:tcBorders>
            <w:shd w:fill="F7FAFB"/>
          </w:tcPr>
          <w:p>
            <w:pPr>
              <w:spacing w:after="20" w:before="20" w:line="278" w:lineRule="auto"/>
            </w:pPr>
            <w:r>
              <w:rPr>
                <w:rFonts w:ascii="宋体" w:hAnsi="宋体" w:eastAsia="宋体"/>
                <w:sz w:val="17"/>
              </w:rPr>
              <w:t>B3</w:t>
            </w:r>
          </w:p>
        </w:tc>
        <w:tc>
          <w:tcPr>
            <w:tcW w:type="dxa" w:w="2268"/>
            <w:vAlign w:val="center"/>
            <w:tcBorders>
              <w:top w:val="single" w:color="D7E1E7" w:sz="4"/>
              <w:left w:val="single" w:color="D7E1E7" w:sz="4"/>
              <w:bottom w:val="single" w:color="D7E1E7" w:sz="4"/>
              <w:right w:val="single" w:color="D7E1E7" w:sz="4"/>
            </w:tcBorders>
            <w:shd w:fill="F7FAFB"/>
          </w:tcPr>
          <w:p>
            <w:pPr>
              <w:spacing w:after="20" w:before="20" w:line="278" w:lineRule="auto"/>
            </w:pPr>
            <w:r>
              <w:rPr>
                <w:rFonts w:ascii="宋体" w:hAnsi="宋体" w:eastAsia="宋体"/>
                <w:sz w:val="17"/>
              </w:rPr>
              <w:t>基础涂层</w:t>
            </w:r>
          </w:p>
        </w:tc>
        <w:tc>
          <w:tcPr>
            <w:tcW w:type="dxa" w:w="1531"/>
            <w:vAlign w:val="center"/>
            <w:tcBorders>
              <w:top w:val="single" w:color="D7E1E7" w:sz="4"/>
              <w:left w:val="single" w:color="D7E1E7" w:sz="4"/>
              <w:bottom w:val="single" w:color="D7E1E7" w:sz="4"/>
              <w:right w:val="single" w:color="D7E1E7" w:sz="4"/>
            </w:tcBorders>
            <w:shd w:fill="F7FAFB"/>
          </w:tcPr>
          <w:p>
            <w:pPr>
              <w:spacing w:after="20" w:before="20" w:line="278" w:lineRule="auto"/>
            </w:pPr>
            <w:r>
              <w:rPr>
                <w:rFonts w:ascii="宋体" w:hAnsi="宋体" w:eastAsia="宋体"/>
                <w:sz w:val="17"/>
              </w:rPr>
              <w:t>—</w:t>
            </w:r>
          </w:p>
        </w:tc>
        <w:tc>
          <w:tcPr>
            <w:tcW w:type="dxa" w:w="1389"/>
            <w:vAlign w:val="center"/>
            <w:tcBorders>
              <w:top w:val="single" w:color="D7E1E7" w:sz="4"/>
              <w:left w:val="single" w:color="D7E1E7" w:sz="4"/>
              <w:bottom w:val="single" w:color="D7E1E7" w:sz="4"/>
              <w:right w:val="single" w:color="D7E1E7" w:sz="4"/>
            </w:tcBorders>
            <w:shd w:fill="F7FAFB"/>
          </w:tcPr>
          <w:p>
            <w:pPr>
              <w:spacing w:after="20" w:before="20" w:line="278" w:lineRule="auto"/>
            </w:pPr>
            <w:r>
              <w:rPr>
                <w:rFonts w:ascii="宋体" w:hAnsi="宋体" w:eastAsia="宋体"/>
                <w:sz w:val="17"/>
              </w:rPr>
              <w:t>是</w:t>
            </w:r>
          </w:p>
        </w:tc>
        <w:tc>
          <w:tcPr>
            <w:tcW w:type="dxa" w:w="1304"/>
            <w:vAlign w:val="center"/>
            <w:tcBorders>
              <w:top w:val="single" w:color="D7E1E7" w:sz="4"/>
              <w:left w:val="single" w:color="D7E1E7" w:sz="4"/>
              <w:bottom w:val="single" w:color="D7E1E7" w:sz="4"/>
              <w:right w:val="single" w:color="D7E1E7" w:sz="4"/>
            </w:tcBorders>
            <w:shd w:fill="F7FAFB"/>
          </w:tcPr>
          <w:p>
            <w:pPr>
              <w:spacing w:after="20" w:before="20" w:line="278" w:lineRule="auto"/>
            </w:pPr>
            <w:r>
              <w:rPr>
                <w:rFonts w:ascii="宋体" w:hAnsi="宋体" w:eastAsia="宋体"/>
                <w:sz w:val="17"/>
              </w:rPr>
              <w:t>B</w:t>
            </w:r>
          </w:p>
        </w:tc>
        <w:tc>
          <w:tcPr>
            <w:tcW w:type="dxa" w:w="1134"/>
            <w:vAlign w:val="center"/>
            <w:tcBorders>
              <w:top w:val="single" w:color="D7E1E7" w:sz="4"/>
              <w:left w:val="single" w:color="D7E1E7" w:sz="4"/>
              <w:bottom w:val="single" w:color="D7E1E7" w:sz="4"/>
              <w:right w:val="single" w:color="D7E1E7" w:sz="4"/>
            </w:tcBorders>
            <w:shd w:fill="F7FAFB"/>
          </w:tcPr>
          <w:p>
            <w:pPr>
              <w:spacing w:after="20" w:before="20" w:line="278" w:lineRule="auto"/>
            </w:pPr>
            <w:r>
              <w:rPr>
                <w:rFonts w:ascii="宋体" w:hAnsi="宋体" w:eastAsia="宋体"/>
                <w:sz w:val="17"/>
              </w:rPr>
              <w:t>3 片</w:t>
            </w:r>
          </w:p>
        </w:tc>
      </w:tr>
      <w:tr>
        <w:tc>
          <w:tcPr>
            <w:tcW w:type="dxa" w:w="652"/>
            <w:vAlign w:val="center"/>
            <w:tcBorders>
              <w:top w:val="single" w:color="D7E1E7" w:sz="4"/>
              <w:left w:val="single" w:color="D7E1E7" w:sz="4"/>
              <w:bottom w:val="single" w:color="D7E1E7" w:sz="4"/>
              <w:right w:val="single" w:color="D7E1E7" w:sz="4"/>
            </w:tcBorders>
          </w:tcPr>
          <w:p>
            <w:pPr>
              <w:spacing w:after="20" w:before="20" w:line="278" w:lineRule="auto"/>
            </w:pPr>
            <w:r>
              <w:rPr>
                <w:rFonts w:ascii="宋体" w:hAnsi="宋体" w:eastAsia="宋体"/>
                <w:sz w:val="17"/>
              </w:rPr>
              <w:t>B4</w:t>
            </w:r>
          </w:p>
        </w:tc>
        <w:tc>
          <w:tcPr>
            <w:tcW w:type="dxa" w:w="2268"/>
            <w:vAlign w:val="center"/>
            <w:tcBorders>
              <w:top w:val="single" w:color="D7E1E7" w:sz="4"/>
              <w:left w:val="single" w:color="D7E1E7" w:sz="4"/>
              <w:bottom w:val="single" w:color="D7E1E7" w:sz="4"/>
              <w:right w:val="single" w:color="D7E1E7" w:sz="4"/>
            </w:tcBorders>
          </w:tcPr>
          <w:p>
            <w:pPr>
              <w:spacing w:after="20" w:before="20" w:line="278" w:lineRule="auto"/>
            </w:pPr>
            <w:r>
              <w:rPr>
                <w:rFonts w:ascii="宋体" w:hAnsi="宋体" w:eastAsia="宋体"/>
                <w:sz w:val="17"/>
              </w:rPr>
              <w:t>功能涂层</w:t>
            </w:r>
          </w:p>
        </w:tc>
        <w:tc>
          <w:tcPr>
            <w:tcW w:type="dxa" w:w="1531"/>
            <w:vAlign w:val="center"/>
            <w:tcBorders>
              <w:top w:val="single" w:color="D7E1E7" w:sz="4"/>
              <w:left w:val="single" w:color="D7E1E7" w:sz="4"/>
              <w:bottom w:val="single" w:color="D7E1E7" w:sz="4"/>
              <w:right w:val="single" w:color="D7E1E7" w:sz="4"/>
            </w:tcBorders>
          </w:tcPr>
          <w:p>
            <w:pPr>
              <w:spacing w:after="20" w:before="20" w:line="278" w:lineRule="auto"/>
            </w:pPr>
            <w:r>
              <w:rPr>
                <w:rFonts w:ascii="宋体" w:hAnsi="宋体" w:eastAsia="宋体"/>
                <w:sz w:val="17"/>
              </w:rPr>
              <w:t>1.5%</w:t>
            </w:r>
          </w:p>
        </w:tc>
        <w:tc>
          <w:tcPr>
            <w:tcW w:type="dxa" w:w="1389"/>
            <w:vAlign w:val="center"/>
            <w:tcBorders>
              <w:top w:val="single" w:color="D7E1E7" w:sz="4"/>
              <w:left w:val="single" w:color="D7E1E7" w:sz="4"/>
              <w:bottom w:val="single" w:color="D7E1E7" w:sz="4"/>
              <w:right w:val="single" w:color="D7E1E7" w:sz="4"/>
            </w:tcBorders>
          </w:tcPr>
          <w:p>
            <w:pPr>
              <w:spacing w:after="20" w:before="20" w:line="278" w:lineRule="auto"/>
            </w:pPr>
            <w:r>
              <w:rPr>
                <w:rFonts w:ascii="宋体" w:hAnsi="宋体" w:eastAsia="宋体"/>
                <w:sz w:val="17"/>
              </w:rPr>
              <w:t>是</w:t>
            </w:r>
          </w:p>
        </w:tc>
        <w:tc>
          <w:tcPr>
            <w:tcW w:type="dxa" w:w="1304"/>
            <w:vAlign w:val="center"/>
            <w:tcBorders>
              <w:top w:val="single" w:color="D7E1E7" w:sz="4"/>
              <w:left w:val="single" w:color="D7E1E7" w:sz="4"/>
              <w:bottom w:val="single" w:color="D7E1E7" w:sz="4"/>
              <w:right w:val="single" w:color="D7E1E7" w:sz="4"/>
            </w:tcBorders>
          </w:tcPr>
          <w:p>
            <w:pPr>
              <w:spacing w:after="20" w:before="20" w:line="278" w:lineRule="auto"/>
            </w:pPr>
            <w:r>
              <w:rPr>
                <w:rFonts w:ascii="宋体" w:hAnsi="宋体" w:eastAsia="宋体"/>
                <w:sz w:val="17"/>
              </w:rPr>
              <w:t>B</w:t>
            </w:r>
          </w:p>
        </w:tc>
        <w:tc>
          <w:tcPr>
            <w:tcW w:type="dxa" w:w="1134"/>
            <w:vAlign w:val="center"/>
            <w:tcBorders>
              <w:top w:val="single" w:color="D7E1E7" w:sz="4"/>
              <w:left w:val="single" w:color="D7E1E7" w:sz="4"/>
              <w:bottom w:val="single" w:color="D7E1E7" w:sz="4"/>
              <w:right w:val="single" w:color="D7E1E7" w:sz="4"/>
            </w:tcBorders>
          </w:tcPr>
          <w:p>
            <w:pPr>
              <w:spacing w:after="20" w:before="20" w:line="278" w:lineRule="auto"/>
            </w:pPr>
            <w:r>
              <w:rPr>
                <w:rFonts w:ascii="宋体" w:hAnsi="宋体" w:eastAsia="宋体"/>
                <w:sz w:val="17"/>
              </w:rPr>
              <w:t>3 片</w:t>
            </w:r>
          </w:p>
        </w:tc>
      </w:tr>
    </w:tbl>
    <w:p>
      <w:pPr>
        <w:spacing w:after="0"/>
      </w:pPr>
    </w:p>
    <w:p>
      <w:r>
        <w:t>将每组 3 片挂板视为 3 个平行样。B1 与 B2 用于比较功能颗粒的涂层效应，B1 与 B3 用于比较 UV-C 效应，B4 与 B2、B3 的差异用于评价联用优势。B0 作为裸基材参照组，不参与功能颗粒与 UV-C 的交互分析。</w:t>
      </w:r>
    </w:p>
    <w:p>
      <w:r>
        <w:t>整个微宇宙试验按上述布置独立运行 1 轮；考虑到两套水槽体积、水温和水源相同，暂不另外设置水槽层面的平行。</w:t>
      </w:r>
    </w:p>
    <w:p>
      <w:pPr>
        <w:pStyle w:val="Heading1"/>
      </w:pPr>
      <w:r>
        <w:t>4  运行、采样与检测</w:t>
      </w:r>
    </w:p>
    <w:p>
      <w:pPr>
        <w:pStyle w:val="Heading2"/>
      </w:pPr>
      <w:r>
        <w:t>4.1  运行过程与采样时间</w:t>
      </w:r>
    </w:p>
    <w:p>
      <w:r>
        <w:t>以浸没首日为 D0，连续运行至 D21。计划在 D7、D14、D21 各取出每组 3 片挂板进行生物膜附着量测定。为提高不同时间点数据的可比性，各组均跟踪同一批挂板：测定结束后以去离子水轻轻冲洗挂板表面，再放回原水槽继续培养。</w:t>
      </w:r>
    </w:p>
    <w:p>
      <w:pPr>
        <w:pStyle w:val="SmallNote"/>
      </w:pPr>
      <w:r>
        <w:t>表 2  采样与测试计划</w:t>
      </w:r>
    </w:p>
    <w:tbl>
      <w:tblPr>
        <w:tblStyle w:val="TableGrid"/>
        <w:tblW w:type="auto" w:w="0"/>
        <w:jc w:val="center"/>
        <w:tblLayout w:type="fixed"/>
        <w:tblLook w:firstColumn="1" w:firstRow="1" w:lastColumn="0" w:lastRow="0" w:noHBand="0" w:noVBand="1" w:val="04A0"/>
      </w:tblPr>
      <w:tblGrid>
        <w:gridCol w:w="3099"/>
        <w:gridCol w:w="3099"/>
        <w:gridCol w:w="3099"/>
      </w:tblGrid>
      <w:tr>
        <w:trPr>
          <w:tblHeader w:val="true"/>
        </w:trPr>
        <w:tc>
          <w:tcPr>
            <w:tcW w:type="dxa" w:w="1134"/>
            <w:shd w:fill="E7EFF4"/>
            <w:vAlign w:val="center"/>
            <w:tcBorders>
              <w:top w:val="single" w:color="D7E1E7" w:sz="4"/>
              <w:left w:val="single" w:color="D7E1E7" w:sz="4"/>
              <w:bottom w:val="single" w:color="D7E1E7" w:sz="4"/>
              <w:right w:val="single" w:color="D7E1E7" w:sz="4"/>
            </w:tcBorders>
          </w:tcPr>
          <w:p>
            <w:pPr>
              <w:spacing w:after="20" w:before="20"/>
            </w:pPr>
            <w:r>
              <w:rPr>
                <w:rFonts w:ascii="微软雅黑" w:hAnsi="微软雅黑" w:eastAsia="微软雅黑"/>
                <w:b/>
                <w:sz w:val="18"/>
              </w:rPr>
              <w:t>时间</w:t>
            </w:r>
          </w:p>
        </w:tc>
        <w:tc>
          <w:tcPr>
            <w:tcW w:type="dxa" w:w="5443"/>
            <w:shd w:fill="E7EFF4"/>
            <w:vAlign w:val="center"/>
            <w:tcBorders>
              <w:top w:val="single" w:color="D7E1E7" w:sz="4"/>
              <w:left w:val="single" w:color="D7E1E7" w:sz="4"/>
              <w:bottom w:val="single" w:color="D7E1E7" w:sz="4"/>
              <w:right w:val="single" w:color="D7E1E7" w:sz="4"/>
            </w:tcBorders>
          </w:tcPr>
          <w:p>
            <w:pPr>
              <w:spacing w:after="20" w:before="20"/>
            </w:pPr>
            <w:r>
              <w:rPr>
                <w:rFonts w:ascii="微软雅黑" w:hAnsi="微软雅黑" w:eastAsia="微软雅黑"/>
                <w:b/>
                <w:sz w:val="18"/>
              </w:rPr>
              <w:t>主要实验内容</w:t>
            </w:r>
          </w:p>
        </w:tc>
        <w:tc>
          <w:tcPr>
            <w:tcW w:type="dxa" w:w="1701"/>
            <w:shd w:fill="E7EFF4"/>
            <w:vAlign w:val="center"/>
            <w:tcBorders>
              <w:top w:val="single" w:color="D7E1E7" w:sz="4"/>
              <w:left w:val="single" w:color="D7E1E7" w:sz="4"/>
              <w:bottom w:val="single" w:color="D7E1E7" w:sz="4"/>
              <w:right w:val="single" w:color="D7E1E7" w:sz="4"/>
            </w:tcBorders>
          </w:tcPr>
          <w:p>
            <w:pPr>
              <w:spacing w:after="20" w:before="20"/>
            </w:pPr>
            <w:r>
              <w:rPr>
                <w:rFonts w:ascii="微软雅黑" w:hAnsi="微软雅黑" w:eastAsia="微软雅黑"/>
                <w:b/>
                <w:sz w:val="18"/>
              </w:rPr>
              <w:t>样品安排</w:t>
            </w:r>
          </w:p>
        </w:tc>
      </w:tr>
      <w:tr>
        <w:tc>
          <w:tcPr>
            <w:tcW w:type="dxa" w:w="1134"/>
            <w:vAlign w:val="center"/>
            <w:tcBorders>
              <w:top w:val="single" w:color="D7E1E7" w:sz="4"/>
              <w:left w:val="single" w:color="D7E1E7" w:sz="4"/>
              <w:bottom w:val="single" w:color="D7E1E7" w:sz="4"/>
              <w:right w:val="single" w:color="D7E1E7" w:sz="4"/>
            </w:tcBorders>
          </w:tcPr>
          <w:p>
            <w:pPr>
              <w:spacing w:after="20" w:before="20" w:line="278" w:lineRule="auto"/>
            </w:pPr>
            <w:r>
              <w:rPr>
                <w:rFonts w:ascii="宋体" w:hAnsi="宋体" w:eastAsia="宋体"/>
                <w:sz w:val="17"/>
              </w:rPr>
              <w:t>D0</w:t>
            </w:r>
          </w:p>
        </w:tc>
        <w:tc>
          <w:tcPr>
            <w:tcW w:type="dxa" w:w="5443"/>
            <w:vAlign w:val="center"/>
            <w:tcBorders>
              <w:top w:val="single" w:color="D7E1E7" w:sz="4"/>
              <w:left w:val="single" w:color="D7E1E7" w:sz="4"/>
              <w:bottom w:val="single" w:color="D7E1E7" w:sz="4"/>
              <w:right w:val="single" w:color="D7E1E7" w:sz="4"/>
            </w:tcBorders>
          </w:tcPr>
          <w:p>
            <w:pPr>
              <w:spacing w:after="20" w:before="20" w:line="278" w:lineRule="auto"/>
            </w:pPr>
            <w:r>
              <w:rPr>
                <w:rFonts w:ascii="宋体" w:hAnsi="宋体" w:eastAsia="宋体"/>
                <w:sz w:val="17"/>
              </w:rPr>
              <w:t>接触角、干膜厚度、初始质量测定</w:t>
            </w:r>
          </w:p>
        </w:tc>
        <w:tc>
          <w:tcPr>
            <w:tcW w:type="dxa" w:w="1701"/>
            <w:vAlign w:val="center"/>
            <w:tcBorders>
              <w:top w:val="single" w:color="D7E1E7" w:sz="4"/>
              <w:left w:val="single" w:color="D7E1E7" w:sz="4"/>
              <w:bottom w:val="single" w:color="D7E1E7" w:sz="4"/>
              <w:right w:val="single" w:color="D7E1E7" w:sz="4"/>
            </w:tcBorders>
          </w:tcPr>
          <w:p>
            <w:pPr>
              <w:spacing w:after="20" w:before="20" w:line="278" w:lineRule="auto"/>
            </w:pPr>
            <w:r>
              <w:rPr>
                <w:rFonts w:ascii="宋体" w:hAnsi="宋体" w:eastAsia="宋体"/>
                <w:sz w:val="17"/>
              </w:rPr>
              <w:t>每组 3 片挂板</w:t>
            </w:r>
          </w:p>
        </w:tc>
      </w:tr>
      <w:tr>
        <w:tc>
          <w:tcPr>
            <w:tcW w:type="dxa" w:w="1134"/>
            <w:vAlign w:val="center"/>
            <w:tcBorders>
              <w:top w:val="single" w:color="D7E1E7" w:sz="4"/>
              <w:left w:val="single" w:color="D7E1E7" w:sz="4"/>
              <w:bottom w:val="single" w:color="D7E1E7" w:sz="4"/>
              <w:right w:val="single" w:color="D7E1E7" w:sz="4"/>
            </w:tcBorders>
            <w:shd w:fill="F7FAFB"/>
          </w:tcPr>
          <w:p>
            <w:pPr>
              <w:spacing w:after="20" w:before="20" w:line="278" w:lineRule="auto"/>
            </w:pPr>
            <w:r>
              <w:rPr>
                <w:rFonts w:ascii="宋体" w:hAnsi="宋体" w:eastAsia="宋体"/>
                <w:sz w:val="17"/>
              </w:rPr>
              <w:t>D7</w:t>
            </w:r>
          </w:p>
        </w:tc>
        <w:tc>
          <w:tcPr>
            <w:tcW w:type="dxa" w:w="5443"/>
            <w:vAlign w:val="center"/>
            <w:tcBorders>
              <w:top w:val="single" w:color="D7E1E7" w:sz="4"/>
              <w:left w:val="single" w:color="D7E1E7" w:sz="4"/>
              <w:bottom w:val="single" w:color="D7E1E7" w:sz="4"/>
              <w:right w:val="single" w:color="D7E1E7" w:sz="4"/>
            </w:tcBorders>
            <w:shd w:fill="F7FAFB"/>
          </w:tcPr>
          <w:p>
            <w:pPr>
              <w:spacing w:after="20" w:before="20" w:line="278" w:lineRule="auto"/>
            </w:pPr>
            <w:r>
              <w:rPr>
                <w:rFonts w:ascii="宋体" w:hAnsi="宋体" w:eastAsia="宋体"/>
                <w:sz w:val="17"/>
              </w:rPr>
              <w:t>结晶紫染色法测定表面附着量；记录水质</w:t>
            </w:r>
          </w:p>
        </w:tc>
        <w:tc>
          <w:tcPr>
            <w:tcW w:type="dxa" w:w="1701"/>
            <w:vAlign w:val="center"/>
            <w:tcBorders>
              <w:top w:val="single" w:color="D7E1E7" w:sz="4"/>
              <w:left w:val="single" w:color="D7E1E7" w:sz="4"/>
              <w:bottom w:val="single" w:color="D7E1E7" w:sz="4"/>
              <w:right w:val="single" w:color="D7E1E7" w:sz="4"/>
            </w:tcBorders>
            <w:shd w:fill="F7FAFB"/>
          </w:tcPr>
          <w:p>
            <w:pPr>
              <w:spacing w:after="20" w:before="20" w:line="278" w:lineRule="auto"/>
            </w:pPr>
            <w:r>
              <w:rPr>
                <w:rFonts w:ascii="宋体" w:hAnsi="宋体" w:eastAsia="宋体"/>
                <w:sz w:val="17"/>
              </w:rPr>
              <w:t>每组 3 片挂板</w:t>
            </w:r>
          </w:p>
        </w:tc>
      </w:tr>
      <w:tr>
        <w:tc>
          <w:tcPr>
            <w:tcW w:type="dxa" w:w="1134"/>
            <w:vAlign w:val="center"/>
            <w:tcBorders>
              <w:top w:val="single" w:color="D7E1E7" w:sz="4"/>
              <w:left w:val="single" w:color="D7E1E7" w:sz="4"/>
              <w:bottom w:val="single" w:color="D7E1E7" w:sz="4"/>
              <w:right w:val="single" w:color="D7E1E7" w:sz="4"/>
            </w:tcBorders>
          </w:tcPr>
          <w:p>
            <w:pPr>
              <w:spacing w:after="20" w:before="20" w:line="278" w:lineRule="auto"/>
            </w:pPr>
            <w:r>
              <w:rPr>
                <w:rFonts w:ascii="宋体" w:hAnsi="宋体" w:eastAsia="宋体"/>
                <w:sz w:val="17"/>
              </w:rPr>
              <w:t>D14</w:t>
            </w:r>
          </w:p>
        </w:tc>
        <w:tc>
          <w:tcPr>
            <w:tcW w:type="dxa" w:w="5443"/>
            <w:vAlign w:val="center"/>
            <w:tcBorders>
              <w:top w:val="single" w:color="D7E1E7" w:sz="4"/>
              <w:left w:val="single" w:color="D7E1E7" w:sz="4"/>
              <w:bottom w:val="single" w:color="D7E1E7" w:sz="4"/>
              <w:right w:val="single" w:color="D7E1E7" w:sz="4"/>
            </w:tcBorders>
          </w:tcPr>
          <w:p>
            <w:pPr>
              <w:spacing w:after="20" w:before="20" w:line="278" w:lineRule="auto"/>
            </w:pPr>
            <w:r>
              <w:rPr>
                <w:rFonts w:ascii="宋体" w:hAnsi="宋体" w:eastAsia="宋体"/>
                <w:sz w:val="17"/>
              </w:rPr>
              <w:t>结晶紫染色、EPS 荧光分析；记录水质</w:t>
            </w:r>
          </w:p>
        </w:tc>
        <w:tc>
          <w:tcPr>
            <w:tcW w:type="dxa" w:w="1701"/>
            <w:vAlign w:val="center"/>
            <w:tcBorders>
              <w:top w:val="single" w:color="D7E1E7" w:sz="4"/>
              <w:left w:val="single" w:color="D7E1E7" w:sz="4"/>
              <w:bottom w:val="single" w:color="D7E1E7" w:sz="4"/>
              <w:right w:val="single" w:color="D7E1E7" w:sz="4"/>
            </w:tcBorders>
          </w:tcPr>
          <w:p>
            <w:pPr>
              <w:spacing w:after="20" w:before="20" w:line="278" w:lineRule="auto"/>
            </w:pPr>
            <w:r>
              <w:rPr>
                <w:rFonts w:ascii="宋体" w:hAnsi="宋体" w:eastAsia="宋体"/>
                <w:sz w:val="17"/>
              </w:rPr>
              <w:t>每组 3 片挂板</w:t>
            </w:r>
          </w:p>
        </w:tc>
      </w:tr>
      <w:tr>
        <w:tc>
          <w:tcPr>
            <w:tcW w:type="dxa" w:w="1134"/>
            <w:vAlign w:val="center"/>
            <w:tcBorders>
              <w:top w:val="single" w:color="D7E1E7" w:sz="4"/>
              <w:left w:val="single" w:color="D7E1E7" w:sz="4"/>
              <w:bottom w:val="single" w:color="D7E1E7" w:sz="4"/>
              <w:right w:val="single" w:color="D7E1E7" w:sz="4"/>
            </w:tcBorders>
            <w:shd w:fill="F7FAFB"/>
          </w:tcPr>
          <w:p>
            <w:pPr>
              <w:spacing w:after="20" w:before="20" w:line="278" w:lineRule="auto"/>
            </w:pPr>
            <w:r>
              <w:rPr>
                <w:rFonts w:ascii="宋体" w:hAnsi="宋体" w:eastAsia="宋体"/>
                <w:sz w:val="17"/>
              </w:rPr>
              <w:t>D21</w:t>
            </w:r>
          </w:p>
        </w:tc>
        <w:tc>
          <w:tcPr>
            <w:tcW w:type="dxa" w:w="5443"/>
            <w:vAlign w:val="center"/>
            <w:tcBorders>
              <w:top w:val="single" w:color="D7E1E7" w:sz="4"/>
              <w:left w:val="single" w:color="D7E1E7" w:sz="4"/>
              <w:bottom w:val="single" w:color="D7E1E7" w:sz="4"/>
              <w:right w:val="single" w:color="D7E1E7" w:sz="4"/>
            </w:tcBorders>
            <w:shd w:fill="F7FAFB"/>
          </w:tcPr>
          <w:p>
            <w:pPr>
              <w:spacing w:after="20" w:before="20" w:line="278" w:lineRule="auto"/>
            </w:pPr>
            <w:r>
              <w:rPr>
                <w:rFonts w:ascii="宋体" w:hAnsi="宋体" w:eastAsia="宋体"/>
                <w:sz w:val="17"/>
              </w:rPr>
              <w:t>结晶紫染色、表面接触角及终点生物膜观察</w:t>
            </w:r>
          </w:p>
        </w:tc>
        <w:tc>
          <w:tcPr>
            <w:tcW w:type="dxa" w:w="1701"/>
            <w:vAlign w:val="center"/>
            <w:tcBorders>
              <w:top w:val="single" w:color="D7E1E7" w:sz="4"/>
              <w:left w:val="single" w:color="D7E1E7" w:sz="4"/>
              <w:bottom w:val="single" w:color="D7E1E7" w:sz="4"/>
              <w:right w:val="single" w:color="D7E1E7" w:sz="4"/>
            </w:tcBorders>
            <w:shd w:fill="F7FAFB"/>
          </w:tcPr>
          <w:p>
            <w:pPr>
              <w:spacing w:after="20" w:before="20" w:line="278" w:lineRule="auto"/>
            </w:pPr>
            <w:r>
              <w:rPr>
                <w:rFonts w:ascii="宋体" w:hAnsi="宋体" w:eastAsia="宋体"/>
                <w:sz w:val="17"/>
              </w:rPr>
              <w:t>每组 3 片挂板</w:t>
            </w:r>
          </w:p>
        </w:tc>
      </w:tr>
    </w:tbl>
    <w:p>
      <w:pPr>
        <w:spacing w:after="0"/>
      </w:pPr>
    </w:p>
    <w:p>
      <w:pPr>
        <w:pStyle w:val="Heading2"/>
      </w:pPr>
      <w:r>
        <w:t>4.2  检测指标与方法</w:t>
      </w:r>
    </w:p>
    <w:p>
      <w:r>
        <w:t>（1）主要终点：以结晶紫染色后的 OD590 表征附着生物量。每片挂板进行一次染色，洗脱液分装至 96 孔板，每份洗脱液测 3 个孔，三个孔的均值作为该挂板的测定值。不同涂层的 OD590 直接进行组间比较。</w:t>
      </w:r>
    </w:p>
    <w:p>
      <w:r>
        <w:t>（2）表面性质：采用静态水接触角评价 D0 和 D21 的涂层润湿性；每片挂板选择三个位置测定，取其平均值。涂层形貌用光学显微镜观察。</w:t>
      </w:r>
    </w:p>
    <w:p>
      <w:r>
        <w:t>（3）辅助表征：在 D14 收集挂板表面刮取液，用三维荧光光谱分析 EPS 信号变化；为满足检测体积，同一组的 3 片挂板样品混合后测定。</w:t>
      </w:r>
    </w:p>
    <w:p>
      <w:r>
        <w:t>（4）运行记录：记录水温、pH、电导率和浊度，水质每周测定 2 次。B 水槽按照 UV-C 定时器记录每日开灯持续时间。</w:t>
      </w:r>
    </w:p>
    <w:p>
      <w:pPr>
        <w:pStyle w:val="Heading1"/>
      </w:pPr>
      <w:r>
        <w:t>5  数据统计与结果判断</w:t>
      </w:r>
    </w:p>
    <w:p>
      <w:r>
        <w:t>所有定量指标按“均值 ± 标准差”整理，挂板作为独立样本，取 n = 3。采用单因素方差分析（one-way ANOVA）比较 B0—B4 的差异，组间多重比较使用 Tukey 检验，以 p &lt; 0.05 为显著性水平。D7、D14、D21 按独立时间点分别分析。</w:t>
      </w:r>
    </w:p>
    <w:p>
      <w:r>
        <w:t>若 B4 的平均附着量显著低于 B2 与 B3，同时 B4 的降低幅度最大，即判定功能涂层与 UV-C 形成显著协同效应。若功能涂层组的接触角与附着生物量呈显著相关，则进一步将表面润湿性变化认定为主要防污机制。</w:t>
      </w:r>
    </w:p>
    <w:p>
      <w:r>
        <w:t>最终拟绘制不同处理的生物膜附着变化曲线、接触角与附着量相关性图，以及展示组合处理效果的机理示意图。</w:t>
      </w:r>
    </w:p>
    <w:p>
      <w:pPr>
        <w:pStyle w:val="Heading1"/>
      </w:pPr>
      <w:r>
        <w:t>6  预期结果与应用讨论</w:t>
      </w:r>
    </w:p>
    <w:p>
      <w:r>
        <w:t>预计功能涂层相对于基础涂层可以降低微生物附着，脉冲 UV-C 能进一步抑制生物膜积累。通过分析处理间差异和润湿性结果，阐明功能涂层与 UV-C 的协同防污机制。</w:t>
      </w:r>
    </w:p>
    <w:p>
      <w:r>
        <w:t>如 21 d 内 B4 组持续维持最低附着量，拟据此提出该联用方式能够满足淡水取水口及水下监测设备的长期防污要求，并作为后续工程应用的主要技术依据。</w:t>
      </w:r>
    </w:p>
    <w:p>
      <w:pPr>
        <w:pStyle w:val="Heading1"/>
      </w:pPr>
      <w:r>
        <w:t>7  质量控制及实施说明</w:t>
      </w:r>
    </w:p>
    <w:p>
      <w:r>
        <w:t>实验开始前统一检查挂板规格、涂层外观及光源运行状态；试验期间定期清理水槽外壁，避免额外遮光。对于异常样品，结合实验记录判断是否剔除；缺失值不进行插补。试验全过程保留原始吸光度、照片和水质记录。</w:t>
      </w:r>
    </w:p>
    <w:p>
      <w:pPr>
        <w:pStyle w:val="SmallNote"/>
      </w:pPr>
      <w:r>
        <w:t>本方案尚处于实验前讨论阶段，预计根据设备可用性和首轮结果再做必要调整。</w:t>
      </w:r>
    </w:p>
    <w:sectPr w:rsidR="00FC693F" w:rsidRPr="0006063C" w:rsidSect="00034616">
      <w:headerReference w:type="default" r:id="rId9"/>
      <w:footerReference w:type="default" r:id="rId10"/>
      <w:pgSz w:w="11906" w:h="16838"/>
      <w:pgMar w:top="1332" w:right="1276" w:bottom="1162" w:left="1332"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37D8A"/>
        <w:sz w:val="16"/>
      </w:rPr>
      <w:t xml:space="preserve">实验前方案讨论稿   •   第 </w:t>
    </w:r>
    <w:fldSimple w:instr="PAGE"/>
    <w:r>
      <w:rPr>
        <w:color w:val="737D8A"/>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微软雅黑" w:hAnsi="微软雅黑" w:eastAsia="微软雅黑"/>
        <w:color w:val="748792"/>
        <w:sz w:val="16"/>
      </w:rPr>
      <w:t>实验方案  |  课题组内部讨论稿  |  v0.4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100"/>
    </w:pPr>
    <w:rPr>
      <w:rFonts w:ascii="宋体" w:hAnsi="宋体" w:eastAsia="宋体"/>
      <w:color w:val="2A32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微软雅黑" w:hAnsi="微软雅黑" w:eastAsia="微软雅黑"/>
      <w:b/>
      <w:bCs/>
      <w:color w:val="164A61"/>
      <w:sz w:val="27"/>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微软雅黑" w:hAnsi="微软雅黑" w:eastAsia="微软雅黑"/>
      <w:b/>
      <w:bCs/>
      <w:color w:val="2649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微软雅黑" w:hAnsi="微软雅黑" w:eastAsia="微软雅黑"/>
      <w:b/>
      <w:color w:val="18334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260"/>
    </w:pPr>
    <w:rPr>
      <w:rFonts w:ascii="微软雅黑" w:hAnsi="微软雅黑" w:eastAsia="微软雅黑"/>
      <w:color w:val="3F4E5B"/>
      <w:sz w:val="22"/>
    </w:rPr>
  </w:style>
  <w:style w:type="paragraph" w:customStyle="1" w:styleId="SmallNote">
    <w:name w:val="SmallNote"/>
    <w:basedOn w:val="Normal"/>
    <w:pPr>
      <w:spacing w:after="100"/>
    </w:pPr>
    <w:rPr>
      <w:rFonts w:ascii="宋体" w:hAnsi="宋体" w:eastAsia="宋体"/>
      <w:color w:val="66717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淡水生物膜附着的功能涂层与UV-C联用实验方案（讨论稿）</dc:title>
  <dc:subject>ProtocolAudit 实验方案解析与审查测试样本</dc:subject>
  <dc:creator>科研实验方案工作组</dc:creator>
  <cp:keywords/>
  <dc:description>用于评估科研实验方案自动解析与逻辑审查能力。</dc:description>
  <cp:lastModifiedBy/>
  <cp:revision>1</cp:revision>
  <dcterms:created xsi:type="dcterms:W3CDTF">2013-12-23T23:15:00Z</dcterms:created>
  <dcterms:modified xsi:type="dcterms:W3CDTF">2013-12-23T23:15:00Z</dcterms:modified>
  <cp:category/>
</cp:coreProperties>
</file>