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镧改性生物炭对低浓度磷去除及循环再生性能的影响研究</w:t>
      </w:r>
    </w:p>
    <w:p>
      <w:pPr>
        <w:jc w:val="center"/>
      </w:pPr>
      <w:r>
        <w:rPr>
          <w:b/>
        </w:rPr>
        <w:t>实验方案（讨论稿）</w:t>
      </w:r>
    </w:p>
    <w:p>
      <w:pPr>
        <w:jc w:val="center"/>
      </w:pPr>
      <w:r>
        <w:rPr>
          <w:color w:val="667078"/>
          <w:sz w:val="18"/>
        </w:rPr>
        <w:t>研究方向：环境材料与水污染控制    |    方案版本：2026.10</w:t>
      </w:r>
    </w:p>
    <w:p>
      <w:pPr>
        <w:pStyle w:val="Heading1"/>
      </w:pPr>
      <w:r>
        <w:t>1 研究背景与目标</w:t>
      </w:r>
    </w:p>
    <w:p>
      <w:r>
        <w:t>城镇污水深度处理过程中，低浓度磷的稳定去除是实现出水营养盐控制的重要环节。生物炭具有原料易得、孔隙结构可调等特点，但原始生物炭对磷酸盐的吸附能力通常有限。通过负载镧组分构建复合吸附材料，有望提高低浓度磷的去除性能，并改善材料重复利用的经济性。</w:t>
      </w:r>
    </w:p>
    <w:p>
      <w:r>
        <w:t>本研究以市政污水深度处理场景为背景，制备原始生物炭（BC）与镧改性生物炭（La-BC），通过批式吸附实验比较其除磷性能、考察不同水化学条件下的变化以及连续再生后的性能保持情况，并结合表面表征分析可能的作用过程。</w:t>
      </w:r>
    </w:p>
    <w:p>
      <w:pPr>
        <w:pStyle w:val="Heading2"/>
      </w:pPr>
      <w:r>
        <w:t>1.1 研究假设</w:t>
      </w:r>
    </w:p>
    <w:p>
      <w:r>
        <w:t>H1：镧改性可显著提高生物炭对正磷酸盐的去除能力，且提高主要来源于材料表面镧位点与磷酸根之间的特异性结合。</w:t>
      </w:r>
    </w:p>
    <w:p>
      <w:r>
        <w:t>H2：La-BC 在不同 pH 和典型共存组分条件下仍能保持较高的磷去除能力，表明其对污水中磷具有较好的选择性与适应性。</w:t>
      </w:r>
    </w:p>
    <w:p>
      <w:r>
        <w:t>H3：La-BC 经多轮碱洗再生后仍具有稳定除磷效果，可为市政污水深度处理单元的持续运行提供材料依据。</w:t>
      </w:r>
    </w:p>
    <w:p>
      <w:pPr>
        <w:pStyle w:val="Heading1"/>
      </w:pPr>
      <w:r>
        <w:t>2 实验材料与制备</w:t>
      </w:r>
    </w:p>
    <w:p>
      <w:pPr>
        <w:pStyle w:val="Heading2"/>
      </w:pPr>
      <w:r>
        <w:t>2.1 生物炭及改性材料</w:t>
      </w:r>
    </w:p>
    <w:p>
      <w:r>
        <w:t>以稻壳为原料，洗净、干燥后在氮气气氛下于 500 ℃ 热解 2 h，粉碎并筛分至 100–200 目，得到原始生物炭（BC）。称取部分 BC 加入 0.10 mol/L LaCl₃ 溶液，室温振荡浸渍 12 h，过滤后于 80 ℃ 干燥，并于 250 ℃ 进一步热处理 2 h，水洗至洗液电导率趋于稳定，再干燥得到 La-BC。原始 BC 按热解后筛分的方式直接用于吸附实验。</w:t>
      </w:r>
    </w:p>
    <w:p>
      <w:r>
        <w:t>两类材料均测定灰分、比表面积及孔结构，并采用 SEM–EDS、FTIR 和 XPS 分析形貌及表面元素信息。吸附前后各选取一批材料进行 FTIR 与 XPS 对比，结合 P 2p、La 3d 等信号变化讨论磷的固定过程。</w:t>
      </w:r>
    </w:p>
    <w:p>
      <w:pPr>
        <w:pStyle w:val="Heading2"/>
      </w:pPr>
      <w:r>
        <w:t>2.2 实验水样与测定</w:t>
      </w:r>
    </w:p>
    <w:p>
      <w:r>
        <w:t>基础实验使用超纯水配制 KH₂PO₄ 储备液，以 PO₄³⁻-P 计设置目标初始浓度。低浓度筛选实验统一使用 2.0 mg P/L，恒温振荡温度设为 25 ± 1 ℃。过滤后采用钼酸铵分光光度法测定溶解性正磷酸盐；吸附前后记录初始与终点 pH。每批分析设标准曲线、试剂空白及平行测定。</w:t>
      </w:r>
    </w:p>
    <w:p>
      <w:pPr>
        <w:pStyle w:val="Heading1"/>
      </w:pPr>
      <w:r>
        <w:t>3 实验设计</w:t>
      </w:r>
    </w:p>
    <w:p>
      <w:pPr>
        <w:pStyle w:val="Heading2"/>
      </w:pPr>
      <w:r>
        <w:t>3.1 材料比较与剂量筛选</w:t>
      </w:r>
    </w:p>
    <w:p>
      <w:r>
        <w:t>先在初始磷浓度 2.0 mg P/L、初始 pH 约 7.0 条件下进行基础比较。反应液体积为 50 mL，吸附剂投加量 0.50 g/L，振荡 24 h 后取上清液过滤测定。每个处理设置 3 个独立锥形瓶，均由对应材料的一批次制备样品分装而来。为初步考察投加量作用，La-BC 另设置 0.10、0.25、0.50、1.00 g/L 四个剂量，其他条件相同。</w:t>
      </w:r>
    </w:p>
    <w:p>
      <w:r>
        <w:t>表 1  基础实验分组</w:t>
      </w:r>
    </w:p>
    <w:tbl>
      <w:tblPr>
        <w:tblStyle w:val="TableGrid"/>
        <w:tblW w:type="auto" w:w="0"/>
        <w:jc w:val="center"/>
        <w:tblLayout w:type="fixed"/>
        <w:tblLook w:firstColumn="1" w:firstRow="1" w:lastColumn="0" w:lastRow="0" w:noHBand="0" w:noVBand="1" w:val="04A0"/>
      </w:tblPr>
      <w:tblGrid>
        <w:gridCol w:w="964"/>
        <w:gridCol w:w="1928"/>
        <w:gridCol w:w="1871"/>
        <w:gridCol w:w="1587"/>
        <w:gridCol w:w="2438"/>
      </w:tblGrid>
      <w:tr>
        <w:trPr>
          <w:cantSplit/>
          <w:tblHeader w:val="true"/>
        </w:trPr>
        <w:tc>
          <w:tcPr>
            <w:tcW w:type="dxa" w:w="964"/>
            <w:vAlign w:val="center"/>
            <w:shd w:fill="E9F0F5"/>
          </w:tcPr>
          <w:p>
            <w:pPr>
              <w:spacing w:after="40" w:before="40"/>
            </w:pPr>
            <w:r>
              <w:rPr>
                <w:b/>
                <w:sz w:val="18"/>
              </w:rPr>
              <w:t>编号</w:t>
            </w:r>
          </w:p>
        </w:tc>
        <w:tc>
          <w:tcPr>
            <w:tcW w:type="dxa" w:w="1928"/>
            <w:vAlign w:val="center"/>
            <w:shd w:fill="E9F0F5"/>
          </w:tcPr>
          <w:p>
            <w:pPr>
              <w:spacing w:after="40" w:before="40"/>
            </w:pPr>
            <w:r>
              <w:rPr>
                <w:b/>
                <w:sz w:val="18"/>
              </w:rPr>
              <w:t>处理名称</w:t>
            </w:r>
          </w:p>
        </w:tc>
        <w:tc>
          <w:tcPr>
            <w:tcW w:type="dxa" w:w="1871"/>
            <w:vAlign w:val="center"/>
            <w:shd w:fill="E9F0F5"/>
          </w:tcPr>
          <w:p>
            <w:pPr>
              <w:spacing w:after="40" w:before="40"/>
            </w:pPr>
            <w:r>
              <w:rPr>
                <w:b/>
                <w:sz w:val="18"/>
              </w:rPr>
              <w:t>吸附材料</w:t>
            </w:r>
          </w:p>
        </w:tc>
        <w:tc>
          <w:tcPr>
            <w:tcW w:type="dxa" w:w="1587"/>
            <w:vAlign w:val="center"/>
            <w:shd w:fill="E9F0F5"/>
          </w:tcPr>
          <w:p>
            <w:pPr>
              <w:spacing w:after="40" w:before="40"/>
            </w:pPr>
            <w:r>
              <w:rPr>
                <w:b/>
                <w:sz w:val="18"/>
              </w:rPr>
              <w:t>投加量</w:t>
            </w:r>
          </w:p>
        </w:tc>
        <w:tc>
          <w:tcPr>
            <w:tcW w:type="dxa" w:w="2438"/>
            <w:vAlign w:val="center"/>
            <w:shd w:fill="E9F0F5"/>
          </w:tcPr>
          <w:p>
            <w:pPr>
              <w:spacing w:after="40" w:before="40"/>
            </w:pPr>
            <w:r>
              <w:rPr>
                <w:b/>
                <w:sz w:val="18"/>
              </w:rPr>
              <w:t>用途</w:t>
            </w:r>
          </w:p>
        </w:tc>
      </w:tr>
      <w:tr>
        <w:trPr>
          <w:cantSplit/>
        </w:trPr>
        <w:tc>
          <w:tcPr>
            <w:tcW w:type="dxa" w:w="964"/>
            <w:vAlign w:val="center"/>
          </w:tcPr>
          <w:p>
            <w:pPr>
              <w:spacing w:after="20" w:before="20" w:line="278" w:lineRule="auto"/>
            </w:pPr>
            <w:r>
              <w:rPr>
                <w:sz w:val="18"/>
              </w:rPr>
              <w:t>G0</w:t>
            </w:r>
          </w:p>
        </w:tc>
        <w:tc>
          <w:tcPr>
            <w:tcW w:type="dxa" w:w="1928"/>
            <w:vAlign w:val="center"/>
          </w:tcPr>
          <w:p>
            <w:pPr>
              <w:spacing w:after="20" w:before="20" w:line="278" w:lineRule="auto"/>
            </w:pPr>
            <w:r>
              <w:rPr>
                <w:sz w:val="18"/>
              </w:rPr>
              <w:t>无材料空白</w:t>
            </w:r>
          </w:p>
        </w:tc>
        <w:tc>
          <w:tcPr>
            <w:tcW w:type="dxa" w:w="1871"/>
            <w:vAlign w:val="center"/>
          </w:tcPr>
          <w:p>
            <w:pPr>
              <w:spacing w:after="20" w:before="20" w:line="278" w:lineRule="auto"/>
            </w:pPr>
            <w:r>
              <w:rPr>
                <w:sz w:val="18"/>
              </w:rPr>
              <w:t>无</w:t>
            </w:r>
          </w:p>
        </w:tc>
        <w:tc>
          <w:tcPr>
            <w:tcW w:type="dxa" w:w="1587"/>
            <w:vAlign w:val="center"/>
          </w:tcPr>
          <w:p>
            <w:pPr>
              <w:spacing w:after="20" w:before="20" w:line="278" w:lineRule="auto"/>
            </w:pPr>
            <w:r>
              <w:rPr>
                <w:sz w:val="18"/>
              </w:rPr>
              <w:t>0</w:t>
            </w:r>
          </w:p>
        </w:tc>
        <w:tc>
          <w:tcPr>
            <w:tcW w:type="dxa" w:w="2438"/>
            <w:vAlign w:val="center"/>
          </w:tcPr>
          <w:p>
            <w:pPr>
              <w:spacing w:after="20" w:before="20" w:line="278" w:lineRule="auto"/>
            </w:pPr>
            <w:r>
              <w:rPr>
                <w:sz w:val="18"/>
              </w:rPr>
              <w:t>评价溶液与容器背景变化</w:t>
            </w:r>
          </w:p>
        </w:tc>
      </w:tr>
      <w:tr>
        <w:trPr>
          <w:cantSplit/>
        </w:trPr>
        <w:tc>
          <w:tcPr>
            <w:tcW w:type="dxa" w:w="964"/>
            <w:vAlign w:val="center"/>
          </w:tcPr>
          <w:p>
            <w:pPr>
              <w:spacing w:after="20" w:before="20" w:line="278" w:lineRule="auto"/>
            </w:pPr>
            <w:r>
              <w:rPr>
                <w:sz w:val="18"/>
              </w:rPr>
              <w:t>G1</w:t>
            </w:r>
          </w:p>
        </w:tc>
        <w:tc>
          <w:tcPr>
            <w:tcW w:type="dxa" w:w="1928"/>
            <w:vAlign w:val="center"/>
          </w:tcPr>
          <w:p>
            <w:pPr>
              <w:spacing w:after="20" w:before="20" w:line="278" w:lineRule="auto"/>
            </w:pPr>
            <w:r>
              <w:rPr>
                <w:sz w:val="18"/>
              </w:rPr>
              <w:t>原始生物炭</w:t>
            </w:r>
          </w:p>
        </w:tc>
        <w:tc>
          <w:tcPr>
            <w:tcW w:type="dxa" w:w="1871"/>
            <w:vAlign w:val="center"/>
          </w:tcPr>
          <w:p>
            <w:pPr>
              <w:spacing w:after="20" w:before="20" w:line="278" w:lineRule="auto"/>
            </w:pPr>
            <w:r>
              <w:rPr>
                <w:sz w:val="18"/>
              </w:rPr>
              <w:t>BC</w:t>
            </w:r>
          </w:p>
        </w:tc>
        <w:tc>
          <w:tcPr>
            <w:tcW w:type="dxa" w:w="1587"/>
            <w:vAlign w:val="center"/>
          </w:tcPr>
          <w:p>
            <w:pPr>
              <w:spacing w:after="20" w:before="20" w:line="278" w:lineRule="auto"/>
            </w:pPr>
            <w:r>
              <w:rPr>
                <w:sz w:val="18"/>
              </w:rPr>
              <w:t>0.50 g/L</w:t>
            </w:r>
          </w:p>
        </w:tc>
        <w:tc>
          <w:tcPr>
            <w:tcW w:type="dxa" w:w="2438"/>
            <w:vAlign w:val="center"/>
          </w:tcPr>
          <w:p>
            <w:pPr>
              <w:spacing w:after="20" w:before="20" w:line="278" w:lineRule="auto"/>
            </w:pPr>
            <w:r>
              <w:rPr>
                <w:sz w:val="18"/>
              </w:rPr>
              <w:t>材料基准比较</w:t>
            </w:r>
          </w:p>
        </w:tc>
      </w:tr>
      <w:tr>
        <w:trPr>
          <w:cantSplit/>
        </w:trPr>
        <w:tc>
          <w:tcPr>
            <w:tcW w:type="dxa" w:w="964"/>
            <w:vAlign w:val="center"/>
          </w:tcPr>
          <w:p>
            <w:pPr>
              <w:spacing w:after="20" w:before="20" w:line="278" w:lineRule="auto"/>
            </w:pPr>
            <w:r>
              <w:rPr>
                <w:sz w:val="18"/>
              </w:rPr>
              <w:t>G2</w:t>
            </w:r>
          </w:p>
        </w:tc>
        <w:tc>
          <w:tcPr>
            <w:tcW w:type="dxa" w:w="1928"/>
            <w:vAlign w:val="center"/>
          </w:tcPr>
          <w:p>
            <w:pPr>
              <w:spacing w:after="20" w:before="20" w:line="278" w:lineRule="auto"/>
            </w:pPr>
            <w:r>
              <w:rPr>
                <w:sz w:val="18"/>
              </w:rPr>
              <w:t>镧改性生物炭</w:t>
            </w:r>
          </w:p>
        </w:tc>
        <w:tc>
          <w:tcPr>
            <w:tcW w:type="dxa" w:w="1871"/>
            <w:vAlign w:val="center"/>
          </w:tcPr>
          <w:p>
            <w:pPr>
              <w:spacing w:after="20" w:before="20" w:line="278" w:lineRule="auto"/>
            </w:pPr>
            <w:r>
              <w:rPr>
                <w:sz w:val="18"/>
              </w:rPr>
              <w:t>La-BC</w:t>
            </w:r>
          </w:p>
        </w:tc>
        <w:tc>
          <w:tcPr>
            <w:tcW w:type="dxa" w:w="1587"/>
            <w:vAlign w:val="center"/>
          </w:tcPr>
          <w:p>
            <w:pPr>
              <w:spacing w:after="20" w:before="20" w:line="278" w:lineRule="auto"/>
            </w:pPr>
            <w:r>
              <w:rPr>
                <w:sz w:val="18"/>
              </w:rPr>
              <w:t>0.50 g/L</w:t>
            </w:r>
          </w:p>
        </w:tc>
        <w:tc>
          <w:tcPr>
            <w:tcW w:type="dxa" w:w="2438"/>
            <w:vAlign w:val="center"/>
          </w:tcPr>
          <w:p>
            <w:pPr>
              <w:spacing w:after="20" w:before="20" w:line="278" w:lineRule="auto"/>
            </w:pPr>
            <w:r>
              <w:rPr>
                <w:sz w:val="18"/>
              </w:rPr>
              <w:t>改性效果比较</w:t>
            </w:r>
          </w:p>
        </w:tc>
      </w:tr>
      <w:tr>
        <w:trPr>
          <w:cantSplit/>
        </w:trPr>
        <w:tc>
          <w:tcPr>
            <w:tcW w:type="dxa" w:w="964"/>
            <w:vAlign w:val="center"/>
          </w:tcPr>
          <w:p>
            <w:pPr>
              <w:spacing w:after="20" w:before="20" w:line="278" w:lineRule="auto"/>
            </w:pPr>
            <w:r>
              <w:rPr>
                <w:sz w:val="18"/>
              </w:rPr>
              <w:t>D1–D4</w:t>
            </w:r>
          </w:p>
        </w:tc>
        <w:tc>
          <w:tcPr>
            <w:tcW w:type="dxa" w:w="1928"/>
            <w:vAlign w:val="center"/>
          </w:tcPr>
          <w:p>
            <w:pPr>
              <w:spacing w:after="20" w:before="20" w:line="278" w:lineRule="auto"/>
            </w:pPr>
            <w:r>
              <w:rPr>
                <w:sz w:val="18"/>
              </w:rPr>
              <w:t>La-BC 剂量组</w:t>
            </w:r>
          </w:p>
        </w:tc>
        <w:tc>
          <w:tcPr>
            <w:tcW w:type="dxa" w:w="1871"/>
            <w:vAlign w:val="center"/>
          </w:tcPr>
          <w:p>
            <w:pPr>
              <w:spacing w:after="20" w:before="20" w:line="278" w:lineRule="auto"/>
            </w:pPr>
            <w:r>
              <w:rPr>
                <w:sz w:val="18"/>
              </w:rPr>
              <w:t>La-BC</w:t>
            </w:r>
          </w:p>
        </w:tc>
        <w:tc>
          <w:tcPr>
            <w:tcW w:type="dxa" w:w="1587"/>
            <w:vAlign w:val="center"/>
          </w:tcPr>
          <w:p>
            <w:pPr>
              <w:spacing w:after="20" w:before="20" w:line="278" w:lineRule="auto"/>
            </w:pPr>
            <w:r>
              <w:rPr>
                <w:sz w:val="18"/>
              </w:rPr>
              <w:t>0.10–1.00 g/L</w:t>
            </w:r>
          </w:p>
        </w:tc>
        <w:tc>
          <w:tcPr>
            <w:tcW w:type="dxa" w:w="2438"/>
            <w:vAlign w:val="center"/>
          </w:tcPr>
          <w:p>
            <w:pPr>
              <w:spacing w:after="20" w:before="20" w:line="278" w:lineRule="auto"/>
            </w:pPr>
            <w:r>
              <w:rPr>
                <w:sz w:val="18"/>
              </w:rPr>
              <w:t>筛选适宜投加量</w:t>
            </w:r>
          </w:p>
        </w:tc>
      </w:tr>
    </w:tbl>
    <w:p>
      <w:pPr>
        <w:spacing w:after="0"/>
      </w:pPr>
    </w:p>
    <w:p>
      <w:pPr>
        <w:pStyle w:val="TableNote"/>
      </w:pPr>
      <w:r>
        <w:t>说明：剂量组中的 0.50 g/L 与 G2 采用相同处理条件，可共用相应试验数据。</w:t>
      </w:r>
    </w:p>
    <w:p>
      <w:pPr>
        <w:pStyle w:val="Heading2"/>
      </w:pPr>
      <w:r>
        <w:t>3.2 pH 与共存组分影响</w:t>
      </w:r>
    </w:p>
    <w:p>
      <w:r>
        <w:t>在 2.0 mg P/L、La-BC 0.50 g/L 条件下，分别使用 10 mmol/L 柠檬酸盐、HEPES 和硼酸盐缓冲体系，将反应体系初始 pH 调节至 5.0、7.0 和 9.0，反应 24 h 后比较除磷率，并据此判断材料对 pH 变化的适应性。缓冲体系分别按目标 pH 配置，实验不另外设置相同 pH 下的缓冲体系对照。</w:t>
      </w:r>
    </w:p>
    <w:p>
      <w:r>
        <w:t>共存组分实验以 2.0 mg P/L 的基础水样为参照，在另一组水样中同时加入 Ca²⁺（40 mg/L）、Mg²⁺（15 mg/L）、HCO₃⁻（120 mg/L）和腐殖酸（5 mg/L），以模拟二级出水常见无机盐及溶解性有机物的综合影响。通过比较两类水样的终点除磷率，重点讨论碳酸氢根与磷酸根对材料位点的竞争作用，并评价材料在复杂出水中的选择性。</w:t>
      </w:r>
    </w:p>
    <w:p>
      <w:pPr>
        <w:pStyle w:val="Heading2"/>
      </w:pPr>
      <w:r>
        <w:t>3.3 吸附动力学与等温实验</w:t>
      </w:r>
    </w:p>
    <w:p>
      <w:r>
        <w:t>动力学实验使用 50 mL 离心管，每管初始加入 50 mL 磷溶液与 La-BC（0.50 g/L）。分别在 5、15、30、60、120、240、360 min 取 1.5 mL 悬液，经 0.45 μm 滤膜过滤后测定磷浓度；取样后不补加新液。按固定的初始体积 50 mL 计算各时刻表观吸附量 qₜ = (C₀ − Cₜ) × 0.050 / m，并拟合准一级与准二级动力学模型。每个条件设置 3 个独立反应管，同一反应管用于各时间点连续取样。</w:t>
      </w:r>
    </w:p>
    <w:p>
      <w:r>
        <w:t>等温实验设置初始浓度 0.5、1、2、5、10、20 mg P/L，La-BC 投加量固定为 0.50 g/L，反应 24 h 后测定终点浓度，采用 Langmuir 和 Freundlich 模型拟合平衡吸附数据。</w:t>
      </w:r>
    </w:p>
    <w:p>
      <w:pPr>
        <w:pStyle w:val="Heading2"/>
      </w:pPr>
      <w:r>
        <w:t>3.4 材料再生及循环实验</w:t>
      </w:r>
    </w:p>
    <w:p>
      <w:r>
        <w:t>取完成吸附的 La-BC，使用 0.10 mol/L NaOH 溶液振荡解吸 30 min，超纯水洗涤后 60 ℃ 干燥，再将回收固体全部投入新的 50 mL、2.0 mg P/L 的磷溶液中，重复“吸附—碱洗—再吸附”共 5 轮。</w:t>
      </w:r>
    </w:p>
    <w:p>
      <w:r>
        <w:t>每轮设 3 个独立反应瓶；材料只在首轮投加前和第 5 轮结束后称量干质量，中间各轮不重新调整投加量。循环性能主要以各轮磷去除率和相对于首轮的去除率保持比例评价。</w:t>
      </w:r>
    </w:p>
    <w:p>
      <w:pPr>
        <w:pStyle w:val="Heading2"/>
      </w:pPr>
      <w:r>
        <w:t>3.5 采样与分析安排</w:t>
      </w:r>
    </w:p>
    <w:p>
      <w:r>
        <w:t>表 2  样品采集与测试安排</w:t>
      </w:r>
    </w:p>
    <w:tbl>
      <w:tblPr>
        <w:tblStyle w:val="TableGrid"/>
        <w:tblW w:type="auto" w:w="0"/>
        <w:jc w:val="center"/>
        <w:tblLayout w:type="fixed"/>
        <w:tblLook w:firstColumn="1" w:firstRow="1" w:lastColumn="0" w:lastRow="0" w:noHBand="0" w:noVBand="1" w:val="04A0"/>
      </w:tblPr>
      <w:tblGrid>
        <w:gridCol w:w="1587"/>
        <w:gridCol w:w="1814"/>
        <w:gridCol w:w="2438"/>
        <w:gridCol w:w="2948"/>
      </w:tblGrid>
      <w:tr>
        <w:trPr>
          <w:cantSplit/>
          <w:tblHeader w:val="true"/>
        </w:trPr>
        <w:tc>
          <w:tcPr>
            <w:tcW w:type="dxa" w:w="1587"/>
            <w:vAlign w:val="center"/>
            <w:shd w:fill="E9F0F5"/>
          </w:tcPr>
          <w:p>
            <w:pPr>
              <w:spacing w:after="40" w:before="40"/>
            </w:pPr>
            <w:r>
              <w:rPr>
                <w:b/>
                <w:sz w:val="18"/>
              </w:rPr>
              <w:t>样品类别</w:t>
            </w:r>
          </w:p>
        </w:tc>
        <w:tc>
          <w:tcPr>
            <w:tcW w:type="dxa" w:w="1814"/>
            <w:vAlign w:val="center"/>
            <w:shd w:fill="E9F0F5"/>
          </w:tcPr>
          <w:p>
            <w:pPr>
              <w:spacing w:after="40" w:before="40"/>
            </w:pPr>
            <w:r>
              <w:rPr>
                <w:b/>
                <w:sz w:val="18"/>
              </w:rPr>
              <w:t>采样节点</w:t>
            </w:r>
          </w:p>
        </w:tc>
        <w:tc>
          <w:tcPr>
            <w:tcW w:type="dxa" w:w="2438"/>
            <w:vAlign w:val="center"/>
            <w:shd w:fill="E9F0F5"/>
          </w:tcPr>
          <w:p>
            <w:pPr>
              <w:spacing w:after="40" w:before="40"/>
            </w:pPr>
            <w:r>
              <w:rPr>
                <w:b/>
                <w:sz w:val="18"/>
              </w:rPr>
              <w:t>测试指标</w:t>
            </w:r>
          </w:p>
        </w:tc>
        <w:tc>
          <w:tcPr>
            <w:tcW w:type="dxa" w:w="2948"/>
            <w:vAlign w:val="center"/>
            <w:shd w:fill="E9F0F5"/>
          </w:tcPr>
          <w:p>
            <w:pPr>
              <w:spacing w:after="40" w:before="40"/>
            </w:pPr>
            <w:r>
              <w:rPr>
                <w:b/>
                <w:sz w:val="18"/>
              </w:rPr>
              <w:t>样品处理</w:t>
            </w:r>
          </w:p>
        </w:tc>
      </w:tr>
      <w:tr>
        <w:trPr>
          <w:cantSplit/>
        </w:trPr>
        <w:tc>
          <w:tcPr>
            <w:tcW w:type="dxa" w:w="1587"/>
            <w:vAlign w:val="center"/>
          </w:tcPr>
          <w:p>
            <w:pPr>
              <w:spacing w:after="20" w:before="20" w:line="278" w:lineRule="auto"/>
            </w:pPr>
            <w:r>
              <w:rPr>
                <w:sz w:val="18"/>
              </w:rPr>
              <w:t>基础吸附</w:t>
            </w:r>
          </w:p>
        </w:tc>
        <w:tc>
          <w:tcPr>
            <w:tcW w:type="dxa" w:w="1814"/>
            <w:vAlign w:val="center"/>
          </w:tcPr>
          <w:p>
            <w:pPr>
              <w:spacing w:after="20" w:before="20" w:line="278" w:lineRule="auto"/>
            </w:pPr>
            <w:r>
              <w:rPr>
                <w:sz w:val="18"/>
              </w:rPr>
              <w:t>0 h、24 h</w:t>
            </w:r>
          </w:p>
        </w:tc>
        <w:tc>
          <w:tcPr>
            <w:tcW w:type="dxa" w:w="2438"/>
            <w:vAlign w:val="center"/>
          </w:tcPr>
          <w:p>
            <w:pPr>
              <w:spacing w:after="20" w:before="20" w:line="278" w:lineRule="auto"/>
            </w:pPr>
            <w:r>
              <w:rPr>
                <w:sz w:val="18"/>
              </w:rPr>
              <w:t>正磷酸盐、pH</w:t>
            </w:r>
          </w:p>
        </w:tc>
        <w:tc>
          <w:tcPr>
            <w:tcW w:type="dxa" w:w="2948"/>
            <w:vAlign w:val="center"/>
          </w:tcPr>
          <w:p>
            <w:pPr>
              <w:spacing w:after="20" w:before="20" w:line="278" w:lineRule="auto"/>
            </w:pPr>
            <w:r>
              <w:rPr>
                <w:sz w:val="18"/>
              </w:rPr>
              <w:t>上清液过滤后立即检测</w:t>
            </w:r>
          </w:p>
        </w:tc>
      </w:tr>
      <w:tr>
        <w:trPr>
          <w:cantSplit/>
        </w:trPr>
        <w:tc>
          <w:tcPr>
            <w:tcW w:type="dxa" w:w="1587"/>
            <w:vAlign w:val="center"/>
          </w:tcPr>
          <w:p>
            <w:pPr>
              <w:spacing w:after="20" w:before="20" w:line="278" w:lineRule="auto"/>
            </w:pPr>
            <w:r>
              <w:rPr>
                <w:sz w:val="18"/>
              </w:rPr>
              <w:t>pH / 共存组分</w:t>
            </w:r>
          </w:p>
        </w:tc>
        <w:tc>
          <w:tcPr>
            <w:tcW w:type="dxa" w:w="1814"/>
            <w:vAlign w:val="center"/>
          </w:tcPr>
          <w:p>
            <w:pPr>
              <w:spacing w:after="20" w:before="20" w:line="278" w:lineRule="auto"/>
            </w:pPr>
            <w:r>
              <w:rPr>
                <w:sz w:val="18"/>
              </w:rPr>
              <w:t>0 h、24 h</w:t>
            </w:r>
          </w:p>
        </w:tc>
        <w:tc>
          <w:tcPr>
            <w:tcW w:type="dxa" w:w="2438"/>
            <w:vAlign w:val="center"/>
          </w:tcPr>
          <w:p>
            <w:pPr>
              <w:spacing w:after="20" w:before="20" w:line="278" w:lineRule="auto"/>
            </w:pPr>
            <w:r>
              <w:rPr>
                <w:sz w:val="18"/>
              </w:rPr>
              <w:t>正磷酸盐、pH</w:t>
            </w:r>
          </w:p>
        </w:tc>
        <w:tc>
          <w:tcPr>
            <w:tcW w:type="dxa" w:w="2948"/>
            <w:vAlign w:val="center"/>
          </w:tcPr>
          <w:p>
            <w:pPr>
              <w:spacing w:after="20" w:before="20" w:line="278" w:lineRule="auto"/>
            </w:pPr>
            <w:r>
              <w:rPr>
                <w:sz w:val="18"/>
              </w:rPr>
              <w:t>每组 3 个独立反应瓶</w:t>
            </w:r>
          </w:p>
        </w:tc>
      </w:tr>
      <w:tr>
        <w:trPr>
          <w:cantSplit/>
        </w:trPr>
        <w:tc>
          <w:tcPr>
            <w:tcW w:type="dxa" w:w="1587"/>
            <w:vAlign w:val="center"/>
          </w:tcPr>
          <w:p>
            <w:pPr>
              <w:spacing w:after="20" w:before="20" w:line="278" w:lineRule="auto"/>
            </w:pPr>
            <w:r>
              <w:rPr>
                <w:sz w:val="18"/>
              </w:rPr>
              <w:t>动力学</w:t>
            </w:r>
          </w:p>
        </w:tc>
        <w:tc>
          <w:tcPr>
            <w:tcW w:type="dxa" w:w="1814"/>
            <w:vAlign w:val="center"/>
          </w:tcPr>
          <w:p>
            <w:pPr>
              <w:spacing w:after="20" w:before="20" w:line="278" w:lineRule="auto"/>
            </w:pPr>
            <w:r>
              <w:rPr>
                <w:sz w:val="18"/>
              </w:rPr>
              <w:t>5–360 min（7 点）</w:t>
            </w:r>
          </w:p>
        </w:tc>
        <w:tc>
          <w:tcPr>
            <w:tcW w:type="dxa" w:w="2438"/>
            <w:vAlign w:val="center"/>
          </w:tcPr>
          <w:p>
            <w:pPr>
              <w:spacing w:after="20" w:before="20" w:line="278" w:lineRule="auto"/>
            </w:pPr>
            <w:r>
              <w:rPr>
                <w:sz w:val="18"/>
              </w:rPr>
              <w:t>正磷酸盐</w:t>
            </w:r>
          </w:p>
        </w:tc>
        <w:tc>
          <w:tcPr>
            <w:tcW w:type="dxa" w:w="2948"/>
            <w:vAlign w:val="center"/>
          </w:tcPr>
          <w:p>
            <w:pPr>
              <w:spacing w:after="20" w:before="20" w:line="278" w:lineRule="auto"/>
            </w:pPr>
            <w:r>
              <w:rPr>
                <w:sz w:val="18"/>
              </w:rPr>
              <w:t>同管依次取样，不补液</w:t>
            </w:r>
          </w:p>
        </w:tc>
      </w:tr>
      <w:tr>
        <w:trPr>
          <w:cantSplit/>
        </w:trPr>
        <w:tc>
          <w:tcPr>
            <w:tcW w:type="dxa" w:w="1587"/>
            <w:vAlign w:val="center"/>
          </w:tcPr>
          <w:p>
            <w:pPr>
              <w:spacing w:after="20" w:before="20" w:line="278" w:lineRule="auto"/>
            </w:pPr>
            <w:r>
              <w:rPr>
                <w:sz w:val="18"/>
              </w:rPr>
              <w:t>等温实验</w:t>
            </w:r>
          </w:p>
        </w:tc>
        <w:tc>
          <w:tcPr>
            <w:tcW w:type="dxa" w:w="1814"/>
            <w:vAlign w:val="center"/>
          </w:tcPr>
          <w:p>
            <w:pPr>
              <w:spacing w:after="20" w:before="20" w:line="278" w:lineRule="auto"/>
            </w:pPr>
            <w:r>
              <w:rPr>
                <w:sz w:val="18"/>
              </w:rPr>
              <w:t>24 h</w:t>
            </w:r>
          </w:p>
        </w:tc>
        <w:tc>
          <w:tcPr>
            <w:tcW w:type="dxa" w:w="2438"/>
            <w:vAlign w:val="center"/>
          </w:tcPr>
          <w:p>
            <w:pPr>
              <w:spacing w:after="20" w:before="20" w:line="278" w:lineRule="auto"/>
            </w:pPr>
            <w:r>
              <w:rPr>
                <w:sz w:val="18"/>
              </w:rPr>
              <w:t>正磷酸盐</w:t>
            </w:r>
          </w:p>
        </w:tc>
        <w:tc>
          <w:tcPr>
            <w:tcW w:type="dxa" w:w="2948"/>
            <w:vAlign w:val="center"/>
          </w:tcPr>
          <w:p>
            <w:pPr>
              <w:spacing w:after="20" w:before="20" w:line="278" w:lineRule="auto"/>
            </w:pPr>
            <w:r>
              <w:rPr>
                <w:sz w:val="18"/>
              </w:rPr>
              <w:t>不同初始浓度独立反应</w:t>
            </w:r>
          </w:p>
        </w:tc>
      </w:tr>
      <w:tr>
        <w:trPr>
          <w:cantSplit/>
        </w:trPr>
        <w:tc>
          <w:tcPr>
            <w:tcW w:type="dxa" w:w="1587"/>
            <w:vAlign w:val="center"/>
          </w:tcPr>
          <w:p>
            <w:pPr>
              <w:spacing w:after="20" w:before="20" w:line="278" w:lineRule="auto"/>
            </w:pPr>
            <w:r>
              <w:rPr>
                <w:sz w:val="18"/>
              </w:rPr>
              <w:t>循环再生</w:t>
            </w:r>
          </w:p>
        </w:tc>
        <w:tc>
          <w:tcPr>
            <w:tcW w:type="dxa" w:w="1814"/>
            <w:vAlign w:val="center"/>
          </w:tcPr>
          <w:p>
            <w:pPr>
              <w:spacing w:after="20" w:before="20" w:line="278" w:lineRule="auto"/>
            </w:pPr>
            <w:r>
              <w:rPr>
                <w:sz w:val="18"/>
              </w:rPr>
              <w:t>每轮结束</w:t>
            </w:r>
          </w:p>
        </w:tc>
        <w:tc>
          <w:tcPr>
            <w:tcW w:type="dxa" w:w="2438"/>
            <w:vAlign w:val="center"/>
          </w:tcPr>
          <w:p>
            <w:pPr>
              <w:spacing w:after="20" w:before="20" w:line="278" w:lineRule="auto"/>
            </w:pPr>
            <w:r>
              <w:rPr>
                <w:sz w:val="18"/>
              </w:rPr>
              <w:t>正磷酸盐、材料质量（首末轮）</w:t>
            </w:r>
          </w:p>
        </w:tc>
        <w:tc>
          <w:tcPr>
            <w:tcW w:type="dxa" w:w="2948"/>
            <w:vAlign w:val="center"/>
          </w:tcPr>
          <w:p>
            <w:pPr>
              <w:spacing w:after="20" w:before="20" w:line="278" w:lineRule="auto"/>
            </w:pPr>
            <w:r>
              <w:rPr>
                <w:sz w:val="18"/>
              </w:rPr>
              <w:t>固体回收再用于下一轮</w:t>
            </w:r>
          </w:p>
        </w:tc>
      </w:tr>
      <w:tr>
        <w:trPr>
          <w:cantSplit/>
        </w:trPr>
        <w:tc>
          <w:tcPr>
            <w:tcW w:type="dxa" w:w="1587"/>
            <w:vAlign w:val="center"/>
          </w:tcPr>
          <w:p>
            <w:pPr>
              <w:spacing w:after="20" w:before="20" w:line="278" w:lineRule="auto"/>
            </w:pPr>
            <w:r>
              <w:rPr>
                <w:sz w:val="18"/>
              </w:rPr>
              <w:t>表面表征</w:t>
            </w:r>
          </w:p>
        </w:tc>
        <w:tc>
          <w:tcPr>
            <w:tcW w:type="dxa" w:w="1814"/>
            <w:vAlign w:val="center"/>
          </w:tcPr>
          <w:p>
            <w:pPr>
              <w:spacing w:after="20" w:before="20" w:line="278" w:lineRule="auto"/>
            </w:pPr>
            <w:r>
              <w:rPr>
                <w:sz w:val="18"/>
              </w:rPr>
              <w:t>吸附前、吸附后</w:t>
            </w:r>
          </w:p>
        </w:tc>
        <w:tc>
          <w:tcPr>
            <w:tcW w:type="dxa" w:w="2438"/>
            <w:vAlign w:val="center"/>
          </w:tcPr>
          <w:p>
            <w:pPr>
              <w:spacing w:after="20" w:before="20" w:line="278" w:lineRule="auto"/>
            </w:pPr>
            <w:r>
              <w:rPr>
                <w:sz w:val="18"/>
              </w:rPr>
              <w:t>FTIR、XPS、SEM–EDS</w:t>
            </w:r>
          </w:p>
        </w:tc>
        <w:tc>
          <w:tcPr>
            <w:tcW w:type="dxa" w:w="2948"/>
            <w:vAlign w:val="center"/>
          </w:tcPr>
          <w:p>
            <w:pPr>
              <w:spacing w:after="20" w:before="20" w:line="278" w:lineRule="auto"/>
            </w:pPr>
            <w:r>
              <w:rPr>
                <w:sz w:val="18"/>
              </w:rPr>
              <w:t>代表性干燥固体</w:t>
            </w:r>
          </w:p>
        </w:tc>
      </w:tr>
    </w:tbl>
    <w:p>
      <w:pPr>
        <w:spacing w:after="0"/>
      </w:pPr>
    </w:p>
    <w:p>
      <w:pPr>
        <w:pStyle w:val="Heading1"/>
      </w:pPr>
      <w:r>
        <w:t>4 数据处理与统计分析</w:t>
      </w:r>
    </w:p>
    <w:p>
      <w:r>
        <w:t>除磷率按 R = (C₀ − Cₑ) / C₀ × 100% 计算，吸附量按 qₑ = (C₀ − Cₑ) × V / m 计算。数据以均值 ± 标准差表示。对 BC 与 La-BC 的除磷率采用独立样本 t 检验，对不同 pH、剂量、共存组分和再生轮次分别开展单因素方差分析，必要时采用 Tukey 事后多重比较。显著性水平为 p &lt; 0.05。动力学与等温模型以拟合优度和参数合理性综合选择。</w:t>
      </w:r>
    </w:p>
    <w:p>
      <w:r>
        <w:t>对于连续取样的动力学实验，各时间点浓度分别计算并用于模型拟合；再生实验各轮的去除率分别比较。技术检测复孔先取均值形成反应瓶数据，再进行统计分析。</w:t>
      </w:r>
    </w:p>
    <w:p>
      <w:pPr>
        <w:pStyle w:val="Heading1"/>
      </w:pPr>
      <w:r>
        <w:t>5 预期结果与结论应用</w:t>
      </w:r>
    </w:p>
    <w:p>
      <w:r>
        <w:t>预期 La-BC 相比 BC 在 2.0 mg P/L 条件下表现出更高的除磷率，XPS 中磷与镧的结合能信息变化将用于说明镧—磷配位是提升吸附能力的主导机制。不同 pH 和共存组分实验预计能够确认材料具有较好的水质适应性及对磷的选择性。</w:t>
      </w:r>
    </w:p>
    <w:p>
      <w:r>
        <w:t>若连续 5 轮再生后除磷率保持在初始水平的 80% 以上，则认为其具有良好的再生稳定性；结合低浓度磷实验结果，进一步提出其适合用于城镇污水厂二级出水深度除磷的连续运行单元，并为长期材料投用提供依据。</w:t>
      </w:r>
    </w:p>
    <w:p>
      <w:pPr>
        <w:pStyle w:val="Heading1"/>
      </w:pPr>
      <w:r>
        <w:t>6 实施计划与质量控制</w:t>
      </w:r>
    </w:p>
    <w:p>
      <w:r>
        <w:t>第 1 周完成材料制备及基础表征；第 2–3 周完成剂量、pH 和共存组分实验；第 4 周完成动力学与等温实验；第 5 周完成五轮再生和吸附后表征；第 6 周进行数据整理与论文初稿撰写。整个实验期间统一使用同批 KH₂PO₄ 储备液，分析仪器按当日标准曲线校准，原始数据及拟合参数单独归档。</w:t>
      </w:r>
    </w:p>
    <w:sectPr w:rsidR="00FC693F" w:rsidRPr="0006063C" w:rsidSect="00034616">
      <w:headerReference w:type="default" r:id="rId9"/>
      <w:footerReference w:type="default" r:id="rId10"/>
      <w:pgSz w:w="11906" w:h="16838"/>
      <w:pgMar w:top="1332" w:right="1389" w:bottom="1219" w:left="1446"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88087"/>
        <w:sz w:val="16"/>
      </w:rPr>
      <w:t>研究方案  /  内部讨论稿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Times New Roman" w:hAnsi="Times New Roman" w:eastAsia="宋体"/>
      <w:color w:val="252E3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Times New Roman" w:hAnsi="Times New Roman" w:eastAsia="黑体"/>
      <w:b/>
      <w:bCs/>
      <w:color w:val="183E54"/>
      <w:sz w:val="25"/>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Times New Roman" w:hAnsi="Times New Roman" w:eastAsia="黑体"/>
      <w:b/>
      <w:bCs/>
      <w:color w:val="183E54"/>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Times New Roman" w:hAnsi="Times New Roman" w:eastAsia="黑体"/>
      <w:b/>
      <w:color w:val="183E54"/>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Note">
    <w:name w:val="TableNote"/>
    <w:pPr>
      <w:spacing w:after="140"/>
    </w:pPr>
    <w:rPr>
      <w:rFonts w:ascii="Times New Roman" w:hAnsi="Times New Roman" w:eastAsia="宋体"/>
      <w:color w:val="535C6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镧改性生物炭对低浓度磷去除及循环再生性能的影响研究</dc:title>
  <dc:subject>环境材料除磷研究方案</dc:subject>
  <dc:creator>科研项目组</dc:creator>
  <cp:keywords/>
  <dc:description>generated by python-docx</dc:description>
  <cp:lastModifiedBy/>
  <cp:revision>1</cp:revision>
  <dcterms:created xsi:type="dcterms:W3CDTF">2013-12-23T23:15:00Z</dcterms:created>
  <dcterms:modified xsi:type="dcterms:W3CDTF">2013-12-23T23:15:00Z</dcterms:modified>
  <cp:category/>
</cp:coreProperties>
</file>