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淡水微宇宙中 CA@MSiO₂ 涂层掺量对生物污损形成的影响</w:t>
      </w:r>
    </w:p>
    <w:p>
      <w:pPr>
        <w:jc w:val="center"/>
      </w:pPr>
      <w:r>
        <w:rPr>
          <w:i/>
          <w:color w:val="646464"/>
        </w:rPr>
        <w:t>实验方案（Trial 5 测试稿）</w:t>
      </w:r>
    </w:p>
    <w:p>
      <w:r>
        <w:t>研究类型：淡水室内加速微宇宙实验；研究阶段：涂层配方筛选与防污效能评价；计划周期：28 d。</w:t>
      </w:r>
    </w:p>
    <w:p>
      <w:r>
        <w:t>说明：本文件为供实验方案审查流程测试的完整方案文本，不包含审查结论、缺陷标注或标准答案。</w:t>
      </w:r>
    </w:p>
    <w:p>
      <w:pPr>
        <w:pStyle w:val="Heading1"/>
      </w:pPr>
      <w:r>
        <w:t>1. 研究背景与目标</w:t>
      </w:r>
    </w:p>
    <w:p>
      <w:r>
        <w:t>淡水环境中的人工浸水表面会逐步形成由有机物吸附、细菌附着及后续生物膜发展构成的污损层。介孔二氧化硅可作为功能组分载体，柠檬酸修饰介孔二氧化硅（CA@MSiO₂）可能改变涂层表面化学性质、润湿行为及早期生物附着。本试验拟在统一淡水微宇宙条件下比较不同 CA@MSiO₂ 掺量涂层的防污表现，筛选适宜掺量，为后续 UV-C/超声耦合试验提供候选配方。</w:t>
      </w:r>
    </w:p>
    <w:p>
      <w:pPr>
        <w:pStyle w:val="Heading1"/>
      </w:pPr>
      <w:r>
        <w:t>2. 研究假设</w:t>
      </w:r>
    </w:p>
    <w:p>
      <w:r>
        <w:t>H1：在一定掺量范围内，CA@MSiO₂ 涂层可降低浸水表面的生物附着量，且防污效果随掺量变化。</w:t>
      </w:r>
    </w:p>
    <w:p>
      <w:r>
        <w:t>H2：CA@MSiO₂ 掺量会改变涂层表面接触角和浸水后的表面状态，这些变化与生物附着指标有关。</w:t>
      </w:r>
    </w:p>
    <w:p>
      <w:r>
        <w:t>H3：28 d 室内微宇宙筛选出的适宜配方，可作为后续淡水防污耦合试验的候选涂层。</w:t>
      </w:r>
    </w:p>
    <w:p>
      <w:pPr>
        <w:pStyle w:val="Heading1"/>
      </w:pPr>
      <w:r>
        <w:t>3. 材料与装置</w:t>
      </w:r>
    </w:p>
    <w:p>
      <w:pPr>
        <w:pStyle w:val="Heading2"/>
      </w:pPr>
      <w:r>
        <w:t>3.1 涂层与基材</w:t>
      </w:r>
    </w:p>
    <w:p>
      <w:r>
        <w:t>基材采用 304 不锈钢片，尺寸 25 mm × 25 mm × 1 mm。依次用去离子水和乙醇清洗、干燥后轻度打磨并再次清洗。所有试片使用同一批基础树脂涂料和相同底材处理流程。CA@MSiO₂ 填料使用前于 60 ℃ 干燥至恒重。掺量按填料质量占涂层固体组分质量的比例计算。每种配方按相同混合顺序和分散时间制备，涂布后室温固化 7 d。</w:t>
      </w:r>
    </w:p>
    <w:p>
      <w:pPr>
        <w:pStyle w:val="Heading2"/>
      </w:pPr>
      <w:r>
        <w:t>3.2 淡水来源与微宇宙</w:t>
      </w:r>
    </w:p>
    <w:p>
      <w:r>
        <w:t>试验水采自武汉东湖同一采样区域，采集当天运回实验室。记录水温、pH、电导率和浊度，经 2 mm 网筛去除较大漂浮物后混匀分装，不进行灭菌处理，以保留自然水体微生物群落。每个微宇宙使用独立 20 L 透明容器，加入 15 L 混匀东湖水。温度维持在 25 ± 2 ℃，光周期为 12 h 光照/12 h 黑暗，不主动添加外源营养盐；采用轻柔曝气维持水体混合，各容器使用独立气路。</w:t>
      </w:r>
    </w:p>
    <w:p>
      <w:pPr>
        <w:pStyle w:val="Heading1"/>
      </w:pPr>
      <w:r>
        <w:t>4. 实验设计与分组</w:t>
      </w:r>
    </w:p>
    <w:p>
      <w:r>
        <w:t>设置 5 个涂层处理，每个处理配置 4 个独立微宇宙容器。每个容器悬挂同一处理的 3 片试片，分别用于第 7、14 和 28 d 取样。每个处理共 4 个容器、12 片试片。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组别</w:t>
            </w:r>
          </w:p>
        </w:tc>
        <w:tc>
          <w:tcPr>
            <w:tcW w:type="dxa" w:w="199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涂层处理</w:t>
            </w:r>
          </w:p>
        </w:tc>
        <w:tc>
          <w:tcPr>
            <w:tcW w:type="dxa" w:w="199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填料掺量（占涂层固体组分）</w:t>
            </w:r>
          </w:p>
        </w:tc>
        <w:tc>
          <w:tcPr>
            <w:tcW w:type="dxa" w:w="199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容器数</w:t>
            </w:r>
          </w:p>
        </w:tc>
        <w:tc>
          <w:tcPr>
            <w:tcW w:type="dxa" w:w="199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每容器试片数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C0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基础涂层，不加功能填料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0%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S3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基础涂层 + 未修饰 MSiO₂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3%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CA1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基础涂层 + CA@MSiO₂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1%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CA3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基础涂层 + CA@MSiO₂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3%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CA5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基础涂层 + CA@MSiO₂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5%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</w:tr>
    </w:tbl>
    <w:p/>
    <w:p>
      <w:r>
        <w:t>为便于日常维护，容器按处理组集中摆放在同一实验台的不同区域。各容器在试验开始时编号，位置在 28 d 期间保持不变。各组采用相同光照时长、曝气强度和补水规则。</w:t>
      </w:r>
    </w:p>
    <w:p>
      <w:pPr>
        <w:pStyle w:val="Heading1"/>
      </w:pPr>
      <w:r>
        <w:t>5. 试验实施</w:t>
      </w:r>
    </w:p>
    <w:p>
      <w:pPr>
        <w:pStyle w:val="Heading2"/>
      </w:pPr>
      <w:r>
        <w:t>5.1 涂层制备与检查</w:t>
      </w:r>
    </w:p>
    <w:p>
      <w:r>
        <w:t>每种配方制备一批工作液，采用机械搅拌与短时超声分散混合。将涂料均匀涂布于不锈钢试片，控制湿膜厚度约 200 μm。固化后记录每片试片质量和外观，测量干膜厚度；若出现肉眼可见的大面积脱落或裂纹，则重新制备该片试片。</w:t>
      </w:r>
    </w:p>
    <w:p>
      <w:pPr>
        <w:pStyle w:val="Heading2"/>
      </w:pPr>
      <w:r>
        <w:t>5.2 试片安装与暴露</w:t>
      </w:r>
    </w:p>
    <w:p>
      <w:r>
        <w:t>每个容器内悬挂 3 片相同处理的试片，试片间距至少 3 cm，浸水深度一致，避免相互接触。每日检查水位、曝气和试片状态；蒸发损失以去离子水补足至初始水位。</w:t>
      </w:r>
    </w:p>
    <w:p>
      <w:pPr>
        <w:pStyle w:val="Heading2"/>
      </w:pPr>
      <w:r>
        <w:t>5.3 采样时间</w:t>
      </w:r>
    </w:p>
    <w:p>
      <w:r>
        <w:t>第 7、14 和 28 d 分别取出每个容器中的一片试片。取样前记录水温、pH、电导率和浊度；取出后按统一流程轻柔冲洗，并开展附着量和表面观察测定。取样后的容器继续运行至下一时间点。</w:t>
      </w:r>
    </w:p>
    <w:p>
      <w:pPr>
        <w:pStyle w:val="Heading1"/>
      </w:pPr>
      <w:r>
        <w:t>6. 测定指标与方法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指标类别</w:t>
            </w:r>
          </w:p>
        </w:tc>
        <w:tc>
          <w:tcPr>
            <w:tcW w:type="dxa" w:w="249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type="dxa" w:w="249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测定方式</w:t>
            </w:r>
          </w:p>
        </w:tc>
        <w:tc>
          <w:tcPr>
            <w:tcW w:type="dxa" w:w="249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7"/>
              </w:rPr>
              <w:t>采样时间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生物附着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附着生物量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结晶紫染色，乙醇洗脱后测定 OD₅₉₀；每片试片测 3 个技术复孔并取均值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D7、D14、D28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生物附着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表面覆盖率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固定光照和放大倍数拍摄试片，图像分析计算覆盖面积比例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D7、D14、D28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涂层性质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静态水接触角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每片试片测量 5 个位置并取平均值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暴露前、D28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涂层稳定性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质量变化与外观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暴露前后称量，记录起泡、裂纹、脱落及颜色变化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暴露前、D28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水体背景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pH、电导率、浊度、温度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使用经校准的便携式仪器测量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7"/>
              </w:rPr>
              <w:t>D0、D7、D14、D28</w:t>
            </w:r>
          </w:p>
        </w:tc>
      </w:tr>
    </w:tbl>
    <w:p/>
    <w:p>
      <w:r>
        <w:t>结晶紫测定每片试片设置 3 个技术复孔，复孔结果取平均值作为该试片测定值。表面覆盖率由两名操作者独立检查图像；如有分歧则共同复核并保存最终图像。</w:t>
      </w:r>
    </w:p>
    <w:p>
      <w:pPr>
        <w:pStyle w:val="Heading1"/>
      </w:pPr>
      <w:r>
        <w:t>7. 数据分析</w:t>
      </w:r>
    </w:p>
    <w:p>
      <w:r>
        <w:t>以附着生物量 OD₅₉₀ 为主要评价指标，以表面覆盖率、接触角和涂层质量变化为辅助指标。对各处理在 D7、D14 和 D28 的数据分别开展单因素方差分析，并使用 Tukey 法进行多重比较。</w:t>
      </w:r>
    </w:p>
    <w:p>
      <w:r>
        <w:t>统计时将同一处理组、同一时间点的全部试片测定值作为独立观测值，每组每个时间点 n = 4；技术复孔先取均值后进入统计。若数据不满足正态性或方差齐性，可进行对数转换后重新分析。</w:t>
      </w:r>
    </w:p>
    <w:p>
      <w:r>
        <w:t>采用 Pearson 相关分析检验接触角与附着生物量之间的关系。若 CA@MSiO₂ 处理同时表现出接触角变化和附着量降低，则据此讨论表面润湿性变化对防污效果的可能贡献。</w:t>
      </w:r>
    </w:p>
    <w:p>
      <w:pPr>
        <w:pStyle w:val="Heading1"/>
      </w:pPr>
      <w:r>
        <w:t>8. 质量控制与记录</w:t>
      </w:r>
    </w:p>
    <w:p>
      <w:pPr>
        <w:pStyle w:val="ListBullet"/>
      </w:pPr>
      <w:r>
        <w:t>为每个容器、试片和原始测定文件设置唯一编号，保留原始读数、图像和数据处理记录。</w:t>
      </w:r>
    </w:p>
    <w:p>
      <w:pPr>
        <w:pStyle w:val="ListBullet"/>
      </w:pPr>
      <w:r>
        <w:t>试验开始前校准接触角仪、天平、pH 计、电导率仪及浊度仪。</w:t>
      </w:r>
    </w:p>
    <w:p>
      <w:pPr>
        <w:pStyle w:val="ListBullet"/>
      </w:pPr>
      <w:r>
        <w:t>每次测定设置仪器空白或方法空白，并记录试剂批号、操作者和测定日期。</w:t>
      </w:r>
    </w:p>
    <w:p>
      <w:pPr>
        <w:pStyle w:val="ListBullet"/>
      </w:pPr>
      <w:r>
        <w:t>每天记录温度、曝气、补水及异常情况；如出现容器破损、明显污染或曝气中断，记录发生时间及处置方式。</w:t>
      </w:r>
    </w:p>
    <w:p>
      <w:pPr>
        <w:pStyle w:val="ListBullet"/>
      </w:pPr>
      <w:r>
        <w:t>统计分析前核对处理组、容器编号、试片编号和采样日期，报告所有排除样本及理由。</w:t>
      </w:r>
    </w:p>
    <w:p>
      <w:pPr>
        <w:pStyle w:val="Heading1"/>
      </w:pPr>
      <w:r>
        <w:t>9. 预期结果与结论范围</w:t>
      </w:r>
    </w:p>
    <w:p>
      <w:r>
        <w:t>预期 CA@MSiO₂ 的适宜掺量能够降低淡水微宇宙中试片表面的早期生物附着，不同掺量之间可能存在差异。结果用于筛选后续耦合试验的候选涂层，并为涂层表面性质与污损表现之间的关系提供初步证据。</w:t>
      </w:r>
    </w:p>
    <w:p>
      <w:r>
        <w:t>本试验周期为 28 d，属于室内加速微宇宙评价。结论主要适用于本次水源、涂层配方和试验条件；关于长期现场性能及普遍作用机制的判断，需要结合后续独立验证。</w:t>
      </w:r>
    </w:p>
    <w:p>
      <w:pPr>
        <w:pStyle w:val="Heading1"/>
      </w:pPr>
      <w:r>
        <w:t>10. 数据归档</w:t>
      </w:r>
    </w:p>
    <w:p>
      <w:r>
        <w:t>归档内容包括涂层配方与制备记录、试片初始信息、容器分组表、逐日运行记录、原始仪器读数、图像文件、统计脚本、异常记录和最终分析结果。所有修改保留日期、操作者及修改理由。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Trial 5 测试稿｜淡水防污实验方案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