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left"/>
      </w:pPr>
      <w:r>
        <w:rPr>
          <w:rFonts w:ascii="Calibri" w:hAnsi="Calibri" w:eastAsia="Microsoft YaHei"/>
          <w:b/>
          <w:color w:val="222222"/>
          <w:sz w:val="48"/>
        </w:rPr>
        <w:t>企业费用报销业务管理系统</w:t>
      </w:r>
    </w:p>
    <w:p>
      <w:pPr>
        <w:spacing w:after="360"/>
      </w:pPr>
      <w:r>
        <w:rPr>
          <w:rFonts w:ascii="Calibri" w:hAnsi="Calibri" w:eastAsia="Microsoft YaHei"/>
          <w:b w:val="0"/>
          <w:color w:val="666666"/>
          <w:sz w:val="26"/>
        </w:rPr>
        <w:t>产品功能规划说明书（职工提交、业务审批、财务审核、付款与归档）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文档属性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文档类型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产品功能规划 / PRD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适用对象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公司职工、部门负责人、项目负责人、财务人员、出纳、系统管理员、审计人员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适用范围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中国大陆一般企业日常费用报销；具体制度、额度和税务口径由公司配置并经财务确认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V1.0（内部评审稿）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编制日期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2026年7月9日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核心目标：</w:t>
            </w: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让职工少填、审批人看得懂、财务审得准、出纳付得清、审计查得到，并通过规则、发票唯一性和完整日志降低重复报销与违规风险。</w:t>
            </w:r>
          </w:p>
        </w:tc>
      </w:tr>
    </w:tbl>
    <w:p>
      <w:pPr>
        <w:spacing w:after="20"/>
      </w:pPr>
    </w:p>
    <w:p>
      <w:pPr>
        <w:pStyle w:val="Heading1"/>
      </w:pPr>
      <w:r>
        <w:t>1. 文档定位与规划原则</w:t>
      </w:r>
    </w:p>
    <w:p>
      <w:r>
        <w:rPr>
          <w:rFonts w:ascii="Calibri" w:hAnsi="Calibri" w:eastAsia="Microsoft YaHei"/>
          <w:b w:val="0"/>
          <w:color w:val="222222"/>
          <w:sz w:val="22"/>
        </w:rPr>
        <w:t>本说明书用于统一报销系统的产品范围、角色职责、业务流程、功能模块、数据要求和分期建设计划，可作为需求评审、开发排期、测试验收和制度落地的共同依据。它不是公司财务制度，也不替代会计、税务或档案专业判断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业务闭环：覆盖事前申请（可选）、报销提交、业务审批、财务审核、付款、入账、归档和审计查询。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一票一档：原始文件名用于展示，唯一存储名和附件ID用于存储、查重、预览、删除与追溯。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规则前置：在提交前完成必填、额度、预算、发票重复和基础合规检查，减少审批往返。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权责分离：申请、业务审批、财务审核、付款和系统配置按角色授权，关键操作留痕。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配置优先：审批链、费用标准、预算维度、单据编号和会计映射均由后台配置，避免写死。</w:t>
      </w:r>
    </w:p>
    <w:p>
      <w:pPr>
        <w:pStyle w:val="Heading1"/>
      </w:pPr>
      <w:r>
        <w:t>2. 用户角色与职责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400"/>
        <w:gridCol w:w="3760"/>
      </w:tblGrid>
      <w:t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4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主要职责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关键权限边界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职工/申请人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创建报销单、上传凭证、确认OCR结果、提交、撤回、补正、查询进度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仅操作本人或被授权代办的单据；已付款单据不可修改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部门/项目审批人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核实业务真实性、必要性、归属部门/项目和费用合理性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不可修改原始凭证；审批动作和意见必须留痕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财务审核人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审核票据、制度、预算、税务处理、科目和成本归属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可退回补正、调整财务字段；不得代替申请人修改业务事实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出纳/付款人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生成付款批次、复核收款信息、登记支付结果和回单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原则上与财务审核分离；付款失败须回退处理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财务主管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处理例外、复核高风险/大额单据、关账与报表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拥有规则豁免权时必须填写原因并形成审计记录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系统管理员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组织、角色、流程、字典、规则、接口和安全配置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默认无财务审批权；不可篡改业务与审计记录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审计/管理层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只读查询、抽样、异常分析和导出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按组织及数据范围授权，不参与日常流转</w:t>
            </w:r>
          </w:p>
        </w:tc>
      </w:tr>
    </w:tbl>
    <w:p>
      <w:pPr>
        <w:spacing w:after="20"/>
      </w:pPr>
    </w:p>
    <w:p>
      <w:pPr>
        <w:pStyle w:val="Heading1"/>
      </w:pPr>
      <w:r>
        <w:t>3. 端到端业务流程</w:t>
      </w:r>
    </w:p>
    <w:p>
      <w:pPr>
        <w:pStyle w:val="ListNumber"/>
      </w:pPr>
      <w:r>
        <w:rPr>
          <w:rFonts w:ascii="Calibri" w:hAnsi="Calibri" w:eastAsia="Microsoft YaHei"/>
          <w:b w:val="0"/>
          <w:color w:val="222222"/>
          <w:sz w:val="22"/>
        </w:rPr>
        <w:t>职工新建报销单，选择费用类型、部门/项目、事由、发生日期和收款方式。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22222"/>
          <w:sz w:val="22"/>
        </w:rPr>
        <w:t>上传发票、行程单、支付截图等凭证；系统生成唯一附件ID和唯一存储名，保留原文件名。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22222"/>
          <w:sz w:val="22"/>
        </w:rPr>
        <w:t>OCR提取发票号码、代码、日期、购销方、金额税额等信息，申请人确认或修正。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22222"/>
          <w:sz w:val="22"/>
        </w:rPr>
        <w:t>系统执行必填、金额勾稽、发票重复、预算、费用标准、敏感词和附件完整性检查。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22222"/>
          <w:sz w:val="22"/>
        </w:rPr>
        <w:t>申请人提交；系统根据组织、费用类型、金额、项目和例外条件自动匹配审批链。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22222"/>
          <w:sz w:val="22"/>
        </w:rPr>
        <w:t>业务审批人审核真实性与合理性，可同意、退回补正、拒绝或转交（按制度配置）。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22222"/>
          <w:sz w:val="22"/>
        </w:rPr>
        <w:t>财务审核人完成票据、税务、预算、科目和支付信息复核；必要时触发加签或财务主管复核。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22222"/>
          <w:sz w:val="22"/>
        </w:rPr>
        <w:t>审批通过后进入待付款；出纳生成付款批次并登记银行流水、付款日期和失败原因。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22222"/>
          <w:sz w:val="22"/>
        </w:rPr>
        <w:t>付款成功后生成或对接记账凭证，关联报销单、附件、审批记录和银行回单。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22222"/>
          <w:sz w:val="22"/>
        </w:rPr>
        <w:t>系统按归档规则固化电子凭证及元数据，支持查询、下载、移交、备份和审计。</w:t>
      </w:r>
    </w:p>
    <w:p>
      <w:pPr>
        <w:pStyle w:val="Heading1"/>
      </w:pPr>
      <w:r>
        <w:t>4. 单据状态与流转规则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300"/>
        <w:gridCol w:w="3300"/>
        <w:gridCol w:w="2460"/>
      </w:tblGrid>
      <w:t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进入条件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允许操作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下一状态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草稿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新建或自动暂存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编辑、上传/删除附件、保存、作废、提交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审批中/已作废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审批中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提交且校验通过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审批、退回、拒绝；申请人按规则撤回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财务审核/待补正/已拒绝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待补正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审批人或财务退回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申请人修改指定内容并再次提交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审批中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财务审核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业务审批完成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财务通过、退回、拒绝、加签、标记风险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待付款/待补正/已拒绝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待付款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全部审核通过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加入付款批次、复核收款信息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付款中/付款失败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付款中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已提交银行或线下支付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查询结果、登记回单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已付款/付款失败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已付款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支付成功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查看、入账、冲销/退款申请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已入账/冲销中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已入账/已归档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凭证生成且归档完成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只读查询、审计导出、红冲关联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终态或更正流程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已拒绝/已作废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审批拒绝或草稿作废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只读、复制新建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终态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Microsoft YaHei"/>
                <w:b/>
                <w:color w:val="1F4D78"/>
                <w:sz w:val="21"/>
              </w:rPr>
              <w:t>流转约束：</w:t>
            </w: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禁止直接删除已提交单据；更正、冲销、退款必须创建关联单据。任何退回、拒绝、撤回、豁免和财务字段调整均应记录操作者、时间、前后值及原因。</w:t>
            </w:r>
          </w:p>
        </w:tc>
      </w:tr>
    </w:tbl>
    <w:p>
      <w:pPr>
        <w:spacing w:after="20"/>
      </w:pPr>
    </w:p>
    <w:p>
      <w:pPr>
        <w:pStyle w:val="Heading1"/>
      </w:pPr>
      <w:r>
        <w:t>5. 功能架构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000"/>
        <w:gridCol w:w="3860"/>
      </w:tblGrid>
      <w:t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功能域</w:t>
            </w:r>
          </w:p>
        </w:tc>
        <w:tc>
          <w:tcPr>
            <w:tcW w:type="dxa" w:w="4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一期必备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增强能力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报销工作台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我的草稿、待办、已办、进度、消息提醒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移动端、代办、批量处理、智能催办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单据与附件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分类表单、自动保存、唯一附件、预览下载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电子凭证原文件接收、邮件/卡包导入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OCR与发票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字段识别、人工确认、重复提示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验真、状态查询、税额拆分、连号/异常分析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审批引擎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按组织/金额/类型配置顺序审批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条件分支、并行会签、加签、委托、超时升级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财务审核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合规清单、预算提示、科目/成本归属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规则引擎、风险评分、自动凭证建议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付款管理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待付款清单、批次、支付结果、回单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银企直联、失败重试、付款对账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入账与归档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凭证号登记、附件包、全链路查询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ERP接口、电子凭证标准化、档案系统接口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分析与配置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费用报表、组织角色、字典、审批配置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预算看板、异常洞察、规则模拟、开放API</w:t>
            </w:r>
          </w:p>
        </w:tc>
      </w:tr>
    </w:tbl>
    <w:p>
      <w:pPr>
        <w:spacing w:after="20"/>
      </w:pPr>
    </w:p>
    <w:p>
      <w:pPr>
        <w:pStyle w:val="Heading1"/>
      </w:pPr>
      <w:r>
        <w:t>6. 职工端功能说明</w:t>
      </w:r>
    </w:p>
    <w:p>
      <w:pPr>
        <w:pStyle w:val="Heading2"/>
      </w:pPr>
      <w:r>
        <w:t>6.1 新建与填写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支持日常费用、差旅、交通、招待、采购垫付等费用类型；不同类型显示不同字段和附件要求。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自动带出申请人、部门、默认成本中心和收款账户；敏感信息脱敏展示。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按费用明细录入日期、类别、金额、税额、项目、事由、参与人/客户等业务要素。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支持保存草稿、自动保存、复制历史单据和从事前申请/借款单关联生成。</w:t>
      </w:r>
    </w:p>
    <w:p>
      <w:pPr>
        <w:pStyle w:val="Heading2"/>
      </w:pPr>
      <w:r>
        <w:t>6.2 凭证与OCR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每次上传生成附件ID和UUID存储名，保留原文件名、大小、类型、哈希值、上传人和时间。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同名文件可重复上传，但系统以附件ID/哈希/发票关键字段区分；删除只作用于选中的唯一附件。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OCR结果必须可查看、可确认；低置信度字段高亮，修改保留识别值与人工修正值。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支持图片和PDF预览；原始电子凭证不得因转图片或压缩而丢失，版式文件与结构化数据宜同时保存。</w:t>
      </w:r>
    </w:p>
    <w:p>
      <w:pPr>
        <w:pStyle w:val="Heading2"/>
      </w:pPr>
      <w:r>
        <w:t>6.3 提交前检查与进度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阻断项：必填缺失、金额不平、无必要附件、确定重复发票、无有效审批路径。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提示项：预算不足、超标准、发票抬头异常、开票日期超期、OCR低置信度，可按权限继续提交并说明。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流程视图显示当前节点、已处理人、处理时间、退回原因和预计下一节点；支持站内消息及可选企业IM提醒。</w:t>
      </w:r>
    </w:p>
    <w:p>
      <w:pPr>
        <w:pStyle w:val="Heading1"/>
      </w:pPr>
      <w:r>
        <w:t>7. 审批人与财务端功能说明</w:t>
      </w:r>
    </w:p>
    <w:p>
      <w:pPr>
        <w:pStyle w:val="Heading2"/>
      </w:pPr>
      <w:r>
        <w:t>7.1 业务审批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待办按紧急程度、提交时间、金额和风险标签排序；详情同时展示业务摘要、费用明细、附件和历史意见。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支持同意、退回补正、拒绝、加签/转交（配置项）；退回必须指定问题项和意见。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审批时展示部门/项目预算占用、同类历史费用和超标说明，但不得替代审批人判断。</w:t>
      </w:r>
    </w:p>
    <w:p>
      <w:pPr>
        <w:pStyle w:val="Heading2"/>
      </w:pPr>
      <w:r>
        <w:t>7.2 财务审核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860"/>
        <w:gridCol w:w="4300"/>
      </w:tblGrid>
      <w:t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审核维度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系统辅助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财务处理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票据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OCR字段、文件哈希、发票关键字段、重复状态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确认真实性、有效性、抬头、日期和凭证完整性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金额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含税金额、税额、报销金额勾稽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确认可报金额、不可报金额和税务处理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制度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费用标准、超标项、缺失附件、敏感场景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通过、退回、拒绝或有理由豁免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预算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预算余额、占用与释放记录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确认预算维度及超预算处理方式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核算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科目、成本中心、项目、税码建议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确认或调整财务字段并保留调整日志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付款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收款账户校验、重复付款提示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确认付款对象、金额和支付方式</w:t>
            </w:r>
          </w:p>
        </w:tc>
      </w:tr>
    </w:tbl>
    <w:p>
      <w:pPr>
        <w:spacing w:after="20"/>
      </w:pPr>
    </w:p>
    <w:p>
      <w:pPr>
        <w:pStyle w:val="Heading2"/>
      </w:pPr>
      <w:r>
        <w:t>7.3 付款、入账与归档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按公司、币种、账户和付款日期组建付款批次；批次具有制单、复核、支付、结果回写状态。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记录银行流水号、付款日期、付款回单和失败原因；付款失败返回待处理而非静默结束。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生成会计凭证或对接ERP，建立“报销单—发票/附件—审批记录—付款回单—记账凭证”关联。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归档包保存原始电子凭证及元数据、业务单据、审批记录、记账凭证和必要的检索关系。</w:t>
      </w:r>
    </w:p>
    <w:p>
      <w:pPr>
        <w:pStyle w:val="Heading1"/>
      </w:pPr>
      <w:r>
        <w:t>8. 管理后台与配置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组织与权限：员工、部门、岗位、角色、数据范围、审批代理、离职交接。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费用类型：字段模板、附件要求、费用标准、可用科目、预算维度和启停时间。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审批流程：按公司/部门/项目/金额/费用类型配置节点、条件、会签、加签、超时和版本。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合规规则：重复发票、抬头、日期、金额、预算、招待人数、差旅标准等；支持阻断/警告/记录三级。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基础数据：供应商、项目、成本中心、会计科目、税码、币种、银行账户和单据编号规则。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接口与运维：SSO、组织同步、企业IM、发票服务、预算/ERP、银企直联、档案系统、日志与告警。</w:t>
      </w:r>
    </w:p>
    <w:p>
      <w:pPr>
        <w:pStyle w:val="Heading1"/>
      </w:pPr>
      <w:r>
        <w:t>9. 核心数据、权限与审计要求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300"/>
        <w:gridCol w:w="3760"/>
      </w:tblGrid>
      <w:t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对象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关键数据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控制要求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报销单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编号、申请人、组织、类型、事由、金额、状态、流程版本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状态机控制；提交后业务事实变更留痕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费用明细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日期、类别、金额税额、项目、成本中心、说明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合计勾稽；支持一单多明细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附件/发票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附件ID、原名、唯一名、哈希、URL、OCR、发票关键字段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唯一定位、防重复、原件保存、访问鉴权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审批记录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节点、处理人、动作、意见、时间、委托/加签关系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追加写入，不允许普通用户修改或删除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预算记录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预算维度、占用、释放、实际发生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幂等处理，退回/作废时正确释放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付款记录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批次、账户、流水、状态、回单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制单复核分离；防重复支付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会计/档案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凭证号、科目、归档包、移交状态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可检索、可导出、可校验、可备份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权限采用角色权限 + 数据范围 + 单据关系三层控制，附件下载接口必须执行同等鉴权。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审计日志至少记录登录、查看敏感信息、导出、上传/删除附件、提交、审批、财务调整、付款和配置变更。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敏感字段（身份证、银行卡等）加密存储、脱敏展示；导出和批量下载需授权并留痕。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关键接口具备幂等键、重试、超时和对账机制，防止重复提交、重复付款或状态丢失。</w:t>
      </w:r>
    </w:p>
    <w:p>
      <w:pPr>
        <w:pStyle w:val="Heading1"/>
      </w:pPr>
      <w:r>
        <w:t>10. 合规与档案设计依据</w:t>
      </w:r>
    </w:p>
    <w:p>
      <w:r>
        <w:rPr>
          <w:rFonts w:ascii="Calibri" w:hAnsi="Calibri" w:eastAsia="Microsoft YaHei"/>
          <w:b w:val="0"/>
          <w:color w:val="222222"/>
          <w:sz w:val="22"/>
        </w:rPr>
        <w:t>产品设计应支持经办、审核、审批等必要审签程序，防止电子会计凭证重复入账，并能够接收、读取、输出电子凭证及其元数据。电子档案还需关注真实、完整、可用、安全、备份、长期保管及检索关系。上述能力需要结合公司会计制度、税务处理和档案管理办法，由财务与档案责任部门最终确认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重复控制不只比较文件名，应综合附件哈希、发票号码/代码、开票日期、金额、销售方和历史入账状态。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保留原始电子凭证，不以截图或OCR文本替代原件；OCR数据属于辅助结构化信息。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对凭证修改、转换、归档、移交和销毁实施权限及日志控制，并建立备份和恢复验证机制。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对接电子凭证会计数据标准时，按凭证种类保存结构化数据、版式文件及元数据。</w:t>
      </w:r>
    </w:p>
    <w:p>
      <w:pPr>
        <w:pStyle w:val="Heading1"/>
      </w:pPr>
      <w:r>
        <w:t>11. 分期建设建议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900"/>
        <w:gridCol w:w="4100"/>
        <w:gridCol w:w="1960"/>
      </w:tblGrid>
      <w:t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4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范围</w:t>
            </w:r>
          </w:p>
        </w:tc>
        <w:tc>
          <w:tcPr>
            <w:tcW w:type="dxa" w:w="1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完成标志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一期：闭环可用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完成线上报销主流程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单据、唯一附件、OCR确认、提交、审批、退回、财务审核、基础报表、权限日志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职工到财务审核全程线上；同名附件可独立管理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二期：财务闭环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打通付款与核算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预算、付款批次、回单、ERP凭证接口、对账、规则配置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审批通过至付款/入账可追踪并可对账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三期：合规智能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提高自动化和审计能力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发票验真、电子凭证标准、档案接口、风险评分、智能审核、管理看板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高频合规项自动检查，归档包可验证与移交</w:t>
            </w:r>
          </w:p>
        </w:tc>
      </w:tr>
    </w:tbl>
    <w:p>
      <w:pPr>
        <w:spacing w:after="20"/>
      </w:pPr>
    </w:p>
    <w:p>
      <w:pPr>
        <w:pStyle w:val="Heading1"/>
      </w:pPr>
      <w:r>
        <w:t>12. 一期验收标准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同一原文件名连续上传3次，应生成3个不同附件ID和唯一存储名；删除其中任意一条，其余两条仍存在且可预览。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草稿可反复保存；提交后不能直接编辑，撤回或退回后按规则恢复编辑。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审批路径按配置正确命中；所有同意、退回、拒绝和撤回动作均可追溯。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系统能识别确定的重复发票并阻断或按配置升级处理，不以文件名作为唯一判断依据。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财务可完成审核清单、科目/成本归属、付款状态和凭证号登记。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普通职工不能查看他人无关单据和附件；附件预览、下载、删除均进行权限校验。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关键操作日志完整，导出数据与页面统计口径一致；异常接口重试不产生重复单据。</w:t>
      </w:r>
    </w:p>
    <w:p>
      <w:pPr>
        <w:pStyle w:val="Heading1"/>
      </w:pPr>
      <w:r>
        <w:t>13. 建议运营指标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800"/>
        <w:gridCol w:w="2860"/>
      </w:tblGrid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4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定义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建议用途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平均提交时长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从新建到首次提交的中位时长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衡量职工填写体验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一次通过率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未退回即完成业务与财务审核的比例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衡量规则前置与表单质量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审批周期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提交到财务审核通过的时长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定位组织流程瓶颈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财务单均处理时长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财务有效操作时间/处理单量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衡量自动化收益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异常命中率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重复、超标、缺件、预算等规则命中比例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优化制度与规则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付款及时率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审批完成后在目标期限内付款比例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衡量付款执行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归档完整率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具备完整凭证链和元数据的已入账单据比例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衡量审计与档案质量</w:t>
            </w:r>
          </w:p>
        </w:tc>
      </w:tr>
    </w:tbl>
    <w:p>
      <w:pPr>
        <w:spacing w:after="20"/>
      </w:pPr>
    </w:p>
    <w:p>
      <w:pPr>
        <w:pStyle w:val="Heading1"/>
      </w:pPr>
      <w:r>
        <w:t>14. 待公司确认事项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费用类型、报销标准、发票抬头、可报期限及特殊场景材料清单。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审批链及金额阈值、会签/加签/委托/撤回规则和财务主管复核条件。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预算控制采用提示还是强控，以及部门、项目、个人等预算维度。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付款方式、银企直联范围、制单复核分离要求和付款时效。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ERP、预算、组织、企业IM、发票服务与档案系统的接口边界。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22222"/>
          <w:sz w:val="22"/>
        </w:rPr>
        <w:t>电子档案保管范围、期限、移交格式、备份和销毁审批要求。</w:t>
      </w:r>
    </w:p>
    <w:p>
      <w:pPr>
        <w:pStyle w:val="Heading1"/>
      </w:pPr>
      <w:r>
        <w:t>15. 参考依据与调研来源</w:t>
      </w:r>
    </w:p>
    <w:p>
      <w:pPr>
        <w:pStyle w:val="ListNumber"/>
      </w:pPr>
      <w:r>
        <w:rPr>
          <w:rFonts w:ascii="Calibri" w:hAnsi="Calibri" w:eastAsia="Microsoft YaHei"/>
          <w:b w:val="0"/>
          <w:color w:val="222222"/>
          <w:sz w:val="18"/>
        </w:rPr>
        <w:t>财政部、国家档案局：《关于规范电子会计凭证报销入账归档的通知》（财会〔2020〕6号），https://kjs.mof.gov.cn/zhengcefabu/202003/t20200331_3490938.htm</w:t>
      </w:r>
    </w:p>
    <w:p>
      <w:pPr>
        <w:pStyle w:val="ListNumber"/>
      </w:pPr>
      <w:r>
        <w:rPr>
          <w:rFonts w:ascii="Calibri" w:hAnsi="Calibri" w:eastAsia="Microsoft YaHei"/>
          <w:b w:val="0"/>
          <w:color w:val="222222"/>
          <w:sz w:val="18"/>
        </w:rPr>
        <w:t>财政部等部门：《关于推广应用电子凭证会计数据标准的通知》（财会〔2025〕9号），https://www.mof.gov.cn/jrttts/202505/t20250521_3964264.htm</w:t>
      </w:r>
    </w:p>
    <w:p>
      <w:pPr>
        <w:pStyle w:val="ListNumber"/>
      </w:pPr>
      <w:r>
        <w:rPr>
          <w:rFonts w:ascii="Calibri" w:hAnsi="Calibri" w:eastAsia="Microsoft YaHei"/>
          <w:b w:val="0"/>
          <w:color w:val="222222"/>
          <w:sz w:val="18"/>
        </w:rPr>
        <w:t>财政部会计司：《电子凭证会计数据标准（推广应用版）》，https://kjs.mof.gov.cn/zt/kuaijixinxihuajianshe/dzpzkjsjbzshsd/sjbz/202505/t20250519_3964020.htm</w:t>
      </w:r>
    </w:p>
    <w:p>
      <w:pPr>
        <w:pStyle w:val="ListNumber"/>
      </w:pPr>
      <w:r>
        <w:rPr>
          <w:rFonts w:ascii="Calibri" w:hAnsi="Calibri" w:eastAsia="Microsoft YaHei"/>
          <w:b w:val="0"/>
          <w:color w:val="222222"/>
          <w:sz w:val="18"/>
        </w:rPr>
        <w:t>国家档案局：《会计档案管理办法》修订内容要点，https://www.saac.gov.cn/daj/fzgz/201603/fb206b147418445d8cb319b711e9a51f.shtml</w:t>
      </w:r>
    </w:p>
    <w:p>
      <w:pPr>
        <w:pStyle w:val="ListNumber"/>
      </w:pPr>
      <w:r>
        <w:rPr>
          <w:rFonts w:ascii="Calibri" w:hAnsi="Calibri" w:eastAsia="Microsoft YaHei"/>
          <w:b w:val="0"/>
          <w:color w:val="222222"/>
          <w:sz w:val="18"/>
        </w:rPr>
        <w:t>国家档案局：《电子档案管理办法》发布信息，https://www.saac.gov.cn/daj/tzgg/202411/c5d21153b2cb47659a3ef5e0d1dc421c.shtml</w:t>
      </w:r>
    </w:p>
    <w:p>
      <w:r>
        <w:rPr>
          <w:rFonts w:ascii="Calibri" w:hAnsi="Calibri" w:eastAsia="Microsoft YaHei"/>
          <w:b w:val="0"/>
          <w:color w:val="222222"/>
          <w:sz w:val="22"/>
        </w:rPr>
        <w:t>说明：本说明书吸收了公开产品常见的OCR、发票查重、预算控制、流程审批、付款、凭证和电子归档能力，但未将任何单一厂商的实现作为强制方案。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6666"/>
        <w:sz w:val="17"/>
      </w:rPr>
      <w:t>内部评审稿 · 2026年7月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666666"/>
        <w:sz w:val="17"/>
      </w:rPr>
      <w:t>企业费用报销业务管理系统 | 产品规划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2222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企业费用报销业务管理系统产品功能规划说明书</dc:title>
  <dc:subject>职工报销、审批、财务审核、付款、入账与归档产品规划</dc:subject>
  <dc:creator>产品规划组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