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5997A">
      <w:pPr>
        <w:spacing w:after="80"/>
      </w:pPr>
      <w:r>
        <w:rPr>
          <w:rFonts w:ascii="Calibri" w:hAnsi="Calibri" w:eastAsia="微软雅黑"/>
          <w:b/>
          <w:color w:val="0B2545"/>
          <w:sz w:val="44"/>
        </w:rPr>
        <w:t>OCR 本地模型服务器配置建议</w:t>
      </w:r>
    </w:p>
    <w:p w14:paraId="158989A9">
      <w:pPr>
        <w:spacing w:after="240"/>
      </w:pPr>
      <w:r>
        <w:rPr>
          <w:color w:val="555555"/>
          <w:sz w:val="20"/>
        </w:rPr>
        <w:t>admin3 报销 OCR 方案验证与本地化部署选型简报 | 2026-07-29</w:t>
      </w:r>
    </w:p>
    <w:p w14:paraId="6C8B17B5">
      <w:pPr>
        <w:pStyle w:val="3"/>
      </w:pPr>
      <w:r>
        <w:t>项目验证与开发简表</w:t>
      </w:r>
    </w:p>
    <w:p w14:paraId="08A1A722">
      <w:r>
        <w:t>截至 2026-07-29，本项目围绕报销 OCR 已完成以下验证和开发。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463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BA1AE">
            <w:pPr>
              <w:jc w:val="center"/>
            </w:pPr>
            <w:r>
              <w:rPr>
                <w:b/>
                <w:color w:val="1F4D78"/>
              </w:rPr>
              <w:t>类别</w:t>
            </w:r>
          </w:p>
        </w:tc>
        <w:tc>
          <w:tcPr>
            <w:tcW w:w="74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726F0">
            <w:pPr>
              <w:jc w:val="center"/>
            </w:pPr>
            <w:r>
              <w:rPr>
                <w:b/>
                <w:color w:val="1F4D78"/>
              </w:rPr>
              <w:t>最简总结</w:t>
            </w:r>
          </w:p>
        </w:tc>
      </w:tr>
      <w:tr w14:paraId="2A48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2CEDE">
            <w:pPr>
              <w:spacing w:after="40" w:line="276" w:lineRule="auto"/>
            </w:pPr>
            <w:r>
              <w:rPr>
                <w:sz w:val="19"/>
              </w:rPr>
              <w:t>本地 OCR 服务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54A07">
            <w:pPr>
              <w:spacing w:after="40" w:line="276" w:lineRule="auto"/>
            </w:pPr>
            <w:r>
              <w:rPr>
                <w:sz w:val="19"/>
              </w:rPr>
              <w:t>已验证 D:\hongmengProjects\ocr-invoice-mcp 可用；默认关闭不必要的 KIE/Table，仅保留 PaddleOCR + 字段提取。</w:t>
            </w:r>
          </w:p>
        </w:tc>
      </w:tr>
      <w:tr w14:paraId="48C6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066A7">
            <w:pPr>
              <w:spacing w:after="40" w:line="276" w:lineRule="auto"/>
            </w:pPr>
            <w:r>
              <w:rPr>
                <w:sz w:val="19"/>
              </w:rPr>
              <w:t>多 Provider 管理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EE0FB">
            <w:pPr>
              <w:spacing w:after="40" w:line="276" w:lineRule="auto"/>
            </w:pPr>
            <w:r>
              <w:rPr>
                <w:sz w:val="19"/>
              </w:rPr>
              <w:t>已在 admin3 增加 OCR 执行管理，支持内部 OCR、Qwen、Kimi、OpenAI-compatible 配置、启用、API Key 加密和提示词管理。</w:t>
            </w:r>
          </w:p>
        </w:tc>
      </w:tr>
      <w:tr w14:paraId="798F2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C87CE">
            <w:pPr>
              <w:spacing w:after="40" w:line="276" w:lineRule="auto"/>
            </w:pPr>
            <w:r>
              <w:rPr>
                <w:sz w:val="19"/>
              </w:rPr>
              <w:t>发票解析方案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3F655">
            <w:pPr>
              <w:spacing w:after="40" w:line="276" w:lineRule="auto"/>
            </w:pPr>
            <w:r>
              <w:rPr>
                <w:sz w:val="19"/>
              </w:rPr>
              <w:t>已从“PDF 文本层固定正则为主”变更为“本地 OCR ocr_raw.bbox 区域解析为默认主路，PDF 文本正则为兼容支路”。</w:t>
            </w:r>
          </w:p>
        </w:tc>
      </w:tr>
      <w:tr w14:paraId="7C53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FF3C0">
            <w:pPr>
              <w:spacing w:after="40" w:line="276" w:lineRule="auto"/>
            </w:pPr>
            <w:r>
              <w:rPr>
                <w:sz w:val="19"/>
              </w:rPr>
              <w:t>样本诊断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2D058">
            <w:pPr>
              <w:spacing w:after="40" w:line="276" w:lineRule="auto"/>
            </w:pPr>
            <w:r>
              <w:rPr>
                <w:sz w:val="19"/>
              </w:rPr>
              <w:t>已对 docs/test2/20260727报销单/20260727报销单 下真实样本做 PDF 文本、OCR 字段、bbox 区域解析对比，并输出 Excel/Markdown 诊断结果。</w:t>
            </w:r>
          </w:p>
        </w:tc>
      </w:tr>
      <w:tr w14:paraId="1762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042EB">
            <w:pPr>
              <w:spacing w:after="40" w:line="276" w:lineRule="auto"/>
            </w:pPr>
            <w:r>
              <w:rPr>
                <w:sz w:val="19"/>
              </w:rPr>
              <w:t>例外票处理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CCC98">
            <w:pPr>
              <w:spacing w:after="40" w:line="276" w:lineRule="auto"/>
            </w:pPr>
            <w:r>
              <w:rPr>
                <w:sz w:val="19"/>
              </w:rPr>
              <w:t>已覆盖滴滴发票多行程区、保险票高度差异、普通 VAT 票同线公司名、金额、税额、开票人错序等问题。</w:t>
            </w:r>
          </w:p>
        </w:tc>
      </w:tr>
      <w:tr w14:paraId="7DBB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37720">
            <w:pPr>
              <w:spacing w:after="40" w:line="276" w:lineRule="auto"/>
            </w:pPr>
            <w:r>
              <w:rPr>
                <w:sz w:val="19"/>
              </w:rPr>
              <w:t>行程单流程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E22FD">
            <w:pPr>
              <w:spacing w:after="40" w:line="276" w:lineRule="auto"/>
            </w:pPr>
            <w:r>
              <w:rPr>
                <w:sz w:val="19"/>
              </w:rPr>
              <w:t>已拆分“上传发票/上传行程单”；行程单走独立 OCR 支路，支持按发票号自动关联和人工关联兜底。</w:t>
            </w:r>
          </w:p>
        </w:tc>
      </w:tr>
      <w:tr w14:paraId="7419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9324C">
            <w:pPr>
              <w:spacing w:after="40" w:line="276" w:lineRule="auto"/>
            </w:pPr>
            <w:r>
              <w:rPr>
                <w:sz w:val="19"/>
              </w:rPr>
              <w:t>费用明细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8131C">
            <w:pPr>
              <w:spacing w:after="40" w:line="276" w:lineRule="auto"/>
            </w:pPr>
            <w:r>
              <w:rPr>
                <w:sz w:val="19"/>
              </w:rPr>
              <w:t>交通类发票保持一票一费用明细；费用明细说明不再由 OCR 机填，仅保留用户手工内容。</w:t>
            </w:r>
          </w:p>
        </w:tc>
      </w:tr>
      <w:tr w14:paraId="36D1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AE225">
            <w:pPr>
              <w:spacing w:after="40" w:line="276" w:lineRule="auto"/>
            </w:pPr>
            <w:r>
              <w:rPr>
                <w:sz w:val="19"/>
              </w:rPr>
              <w:t>入库稳定性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F76ED">
            <w:pPr>
              <w:spacing w:after="40" w:line="276" w:lineRule="auto"/>
            </w:pPr>
            <w:r>
              <w:rPr>
                <w:sz w:val="19"/>
              </w:rPr>
              <w:t>已修复 OCR 原始 JSON 中 4 字节字符导致 ocr_result、ocr_raw_json 写库失败的问题。</w:t>
            </w:r>
          </w:p>
        </w:tc>
      </w:tr>
      <w:tr w14:paraId="3329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B9BA9">
            <w:pPr>
              <w:spacing w:after="40" w:line="276" w:lineRule="auto"/>
            </w:pPr>
            <w:r>
              <w:rPr>
                <w:sz w:val="19"/>
              </w:rPr>
              <w:t>前端配置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8925F">
            <w:pPr>
              <w:spacing w:after="40" w:line="276" w:lineRule="auto"/>
            </w:pPr>
            <w:r>
              <w:rPr>
                <w:sz w:val="19"/>
              </w:rPr>
              <w:t>OCR 执行管理页面已增加“解析支路”选择，默认 bbox 增强。</w:t>
            </w:r>
          </w:p>
        </w:tc>
      </w:tr>
      <w:tr w14:paraId="41E4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98841">
            <w:pPr>
              <w:spacing w:after="40" w:line="276" w:lineRule="auto"/>
            </w:pPr>
            <w:r>
              <w:rPr>
                <w:sz w:val="19"/>
              </w:rPr>
              <w:t>验证命令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6018A">
            <w:pPr>
              <w:spacing w:after="40" w:line="276" w:lineRule="auto"/>
            </w:pPr>
            <w:r>
              <w:rPr>
                <w:sz w:val="19"/>
              </w:rPr>
              <w:t>已通过 OcrComparisonDiagnosticTest、OcrServiceTest、OpenAiCompatibleOcrProviderTest、npm.cmd run build、后端打包和 9099 启动验证。</w:t>
            </w:r>
          </w:p>
        </w:tc>
      </w:tr>
    </w:tbl>
    <w:p w14:paraId="48372C4F"/>
    <w:p w14:paraId="3C5C8C15">
      <w:r>
        <w:rPr>
          <w:b/>
        </w:rPr>
        <w:t>当前结论：</w:t>
      </w:r>
      <w:r>
        <w:t>先把 PaddleOCR server 版模型 + bbox 区域解析路线做稳，性价比最高；本地 VLM 可作为后续高成本增强路线验证。</w:t>
      </w:r>
    </w:p>
    <w:p w14:paraId="5F24A068">
      <w:pPr>
        <w:pStyle w:val="3"/>
      </w:pPr>
      <w:r>
        <w:t>背景</w:t>
      </w:r>
    </w:p>
    <w:p w14:paraId="3C3D93F2">
      <w:r>
        <w:t>本文单独记录 2026-07-29 关于“本地运行 OCR 大模型”与“将 ocrserver 改为 PaddleOCR server 版模型”的服务器配置和技术取舍判断。</w:t>
      </w:r>
    </w:p>
    <w:p w14:paraId="5BF549A1">
      <w:r>
        <w:t>核心问题：</w:t>
      </w:r>
    </w:p>
    <w:p w14:paraId="171EF395">
      <w:pPr>
        <w:pStyle w:val="16"/>
      </w:pPr>
      <w:r>
        <w:t>如果本地跑可执行 OCR 的大模型，并希望接近 ChatGPT 的视觉理解和结构化准确度，需要什么服务器配置。</w:t>
      </w:r>
    </w:p>
    <w:p w14:paraId="755DCAB7">
      <w:pPr>
        <w:pStyle w:val="16"/>
      </w:pPr>
      <w:r>
        <w:t>如果把现有 ocrserver 改成 PaddleOCR server 版模型，能获得什么收益，需要什么服务器配置。</w:t>
      </w:r>
    </w:p>
    <w:p w14:paraId="100820AA">
      <w:pPr>
        <w:pStyle w:val="3"/>
      </w:pPr>
      <w:r>
        <w:t>1. 本地运行 OCR 大模型</w:t>
      </w:r>
    </w:p>
    <w:p w14:paraId="6BDE3544">
      <w:r>
        <w:t>如果目标是接近 ChatGPT 这种“看图理解票面结构、OCR、字段归属判断、纠错、结构化 JSON 输出”的效果，不能只看普通 OCR，需要考虑多模态大模型，也就是 VLM。</w:t>
      </w:r>
    </w:p>
    <w:p w14:paraId="73B7CDBC">
      <w:r>
        <w:t>本地可跑的 OCR 大模型大致分为两类：文档 OCR/VLM 专用模型更偏文档解析、版面、表格和 OCR；通用多模态大模型更接近 ChatGPT 的看图理解能力，能推理字段归属，但成本更高。</w:t>
      </w:r>
    </w:p>
    <w:p w14:paraId="68600416"/>
    <w:p w14:paraId="4AECAA18"/>
    <w:p w14:paraId="7E1CBE35"/>
    <w:p w14:paraId="0CD2423E">
      <w:bookmarkStart w:id="0" w:name="_GoBack"/>
      <w:bookmarkEnd w:id="0"/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604"/>
        <w:gridCol w:w="2580"/>
        <w:gridCol w:w="2450"/>
      </w:tblGrid>
      <w:tr w14:paraId="7AC2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223F0">
            <w:pPr>
              <w:jc w:val="center"/>
            </w:pPr>
            <w:r>
              <w:rPr>
                <w:b/>
                <w:color w:val="1F4D78"/>
              </w:rPr>
              <w:t>目标档位</w:t>
            </w:r>
          </w:p>
        </w:tc>
        <w:tc>
          <w:tcPr>
            <w:tcW w:w="28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AA0F4">
            <w:pPr>
              <w:jc w:val="center"/>
            </w:pPr>
            <w:r>
              <w:rPr>
                <w:b/>
                <w:color w:val="1F4D78"/>
              </w:rPr>
              <w:t>典型模型</w:t>
            </w:r>
          </w:p>
        </w:tc>
        <w:tc>
          <w:tcPr>
            <w:tcW w:w="28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F6FCF">
            <w:pPr>
              <w:jc w:val="center"/>
            </w:pPr>
            <w:r>
              <w:rPr>
                <w:b/>
                <w:color w:val="1F4D78"/>
              </w:rPr>
              <w:t>适合场景</w:t>
            </w:r>
          </w:p>
        </w:tc>
        <w:tc>
          <w:tcPr>
            <w:tcW w:w="18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6F576">
            <w:pPr>
              <w:jc w:val="center"/>
            </w:pPr>
            <w:r>
              <w:rPr>
                <w:b/>
                <w:color w:val="1F4D78"/>
              </w:rPr>
              <w:t>服务器级别</w:t>
            </w:r>
          </w:p>
        </w:tc>
      </w:tr>
      <w:tr w14:paraId="2671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34BFB">
            <w:pPr>
              <w:spacing w:after="40" w:line="276" w:lineRule="auto"/>
            </w:pPr>
            <w:r>
              <w:rPr>
                <w:sz w:val="19"/>
              </w:rPr>
              <w:t>勉强可用，量化模型验证</w:t>
            </w:r>
          </w:p>
        </w:tc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67F6C">
            <w:pPr>
              <w:spacing w:after="40" w:line="276" w:lineRule="auto"/>
            </w:pPr>
            <w:r>
              <w:rPr>
                <w:sz w:val="19"/>
              </w:rPr>
              <w:t>PaddleOCR-VL-0.9B；InternVL3/3.5-1B/2B/4B；Qwen2.5-VL-3B-Instruct</w:t>
            </w:r>
          </w:p>
        </w:tc>
        <w:tc>
          <w:tcPr>
            <w:tcW w:w="28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AA645">
            <w:pPr>
              <w:spacing w:after="40" w:line="276" w:lineRule="auto"/>
            </w:pPr>
            <w:r>
              <w:rPr>
                <w:sz w:val="19"/>
              </w:rPr>
              <w:t>验证本地 VLM 能否看懂发票并输出 JSON；适合少量样本试验。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63A97">
            <w:pPr>
              <w:spacing w:after="40" w:line="276" w:lineRule="auto"/>
            </w:pPr>
            <w:r>
              <w:rPr>
                <w:sz w:val="19"/>
              </w:rPr>
              <w:t>RTX 3060/4060Ti 16GB 可试；RTX 4090 24GB 更舒服。</w:t>
            </w:r>
          </w:p>
        </w:tc>
      </w:tr>
      <w:tr w14:paraId="16C7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F6D00">
            <w:pPr>
              <w:spacing w:after="40" w:line="276" w:lineRule="auto"/>
            </w:pPr>
            <w:r>
              <w:rPr>
                <w:sz w:val="19"/>
              </w:rPr>
              <w:t>比较靠谱，小并发</w:t>
            </w:r>
          </w:p>
        </w:tc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669A4">
            <w:pPr>
              <w:spacing w:after="40" w:line="276" w:lineRule="auto"/>
            </w:pPr>
            <w:r>
              <w:rPr>
                <w:sz w:val="19"/>
              </w:rPr>
              <w:t>Qwen2.5-VL-7B-Instruct；InternVL3/3.5-8B/9B/14B；PaddleOCR-VL 1.5/1.6 完整 pipeline</w:t>
            </w:r>
          </w:p>
        </w:tc>
        <w:tc>
          <w:tcPr>
            <w:tcW w:w="28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3038B">
            <w:pPr>
              <w:spacing w:after="40" w:line="276" w:lineRule="auto"/>
            </w:pPr>
            <w:r>
              <w:rPr>
                <w:sz w:val="19"/>
              </w:rPr>
              <w:t>小批量发票结构化、复杂版面理解、疑难票辅助判断。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EFF4E">
            <w:pPr>
              <w:spacing w:after="40" w:line="276" w:lineRule="auto"/>
            </w:pPr>
            <w:r>
              <w:rPr>
                <w:sz w:val="19"/>
              </w:rPr>
              <w:t>RTX 4090 24GB 可跑量化；L40S / RTX 6000 Ada 48GB 更稳。</w:t>
            </w:r>
          </w:p>
        </w:tc>
      </w:tr>
      <w:tr w14:paraId="4F9C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64FFB">
            <w:pPr>
              <w:spacing w:after="40" w:line="276" w:lineRule="auto"/>
            </w:pPr>
            <w:r>
              <w:rPr>
                <w:sz w:val="19"/>
              </w:rPr>
              <w:t>接近线上大模型体验</w:t>
            </w:r>
          </w:p>
        </w:tc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58AE3">
            <w:pPr>
              <w:spacing w:after="40" w:line="276" w:lineRule="auto"/>
            </w:pPr>
            <w:r>
              <w:rPr>
                <w:sz w:val="19"/>
              </w:rPr>
              <w:t>Qwen2.5-VL-72B-Instruct；InternVL3-38B/78B；InternVL3.5-38B</w:t>
            </w:r>
          </w:p>
        </w:tc>
        <w:tc>
          <w:tcPr>
            <w:tcW w:w="28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D790D">
            <w:pPr>
              <w:spacing w:after="40" w:line="276" w:lineRule="auto"/>
            </w:pPr>
            <w:r>
              <w:rPr>
                <w:sz w:val="19"/>
              </w:rPr>
              <w:t>更强视觉理解、表格/布局/字段归属判断，接近“让模型直接看票填字段”。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444C6">
            <w:pPr>
              <w:spacing w:after="40" w:line="276" w:lineRule="auto"/>
            </w:pPr>
            <w:r>
              <w:rPr>
                <w:sz w:val="19"/>
              </w:rPr>
              <w:t>2 张 48GB，或 A100/H100 80GB。</w:t>
            </w:r>
          </w:p>
        </w:tc>
      </w:tr>
      <w:tr w14:paraId="1135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C06F0">
            <w:pPr>
              <w:spacing w:after="40" w:line="276" w:lineRule="auto"/>
            </w:pPr>
            <w:r>
              <w:rPr>
                <w:sz w:val="19"/>
              </w:rPr>
              <w:t>多用户生产并发</w:t>
            </w:r>
          </w:p>
        </w:tc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98AB0">
            <w:pPr>
              <w:spacing w:after="40" w:line="276" w:lineRule="auto"/>
            </w:pPr>
            <w:r>
              <w:rPr>
                <w:sz w:val="19"/>
              </w:rPr>
              <w:t>Qwen2.5-VL-72B 多副本；InternVL3/3.5-38B/78B 多副本；更大的 MoE VLM</w:t>
            </w:r>
          </w:p>
        </w:tc>
        <w:tc>
          <w:tcPr>
            <w:tcW w:w="28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C4138">
            <w:pPr>
              <w:spacing w:after="40" w:line="276" w:lineRule="auto"/>
            </w:pPr>
            <w:r>
              <w:rPr>
                <w:sz w:val="19"/>
              </w:rPr>
              <w:t>多用户同时上传、队列推理、稳定 SLA。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A774E">
            <w:pPr>
              <w:spacing w:after="40" w:line="276" w:lineRule="auto"/>
            </w:pPr>
            <w:r>
              <w:rPr>
                <w:sz w:val="19"/>
              </w:rPr>
              <w:t>多卡 48GB/80GB，推理服务集群，vLLM/SGLang/FastDeploy，队列限流。</w:t>
            </w:r>
          </w:p>
        </w:tc>
      </w:tr>
    </w:tbl>
    <w:p w14:paraId="20696037"/>
    <w:p w14:paraId="3D588BEB">
      <w:r>
        <w:t>本项目第一阶段不建议直接上 72B。更现实的验证顺序是：PaddleOCR-VL 负责文档 OCR 和版面能力验证，Qwen2.5-VL-7B-Instruct 验证中文票据和 JSON 指令跟随，InternVL3.5-8B/14B 与 Qwen 做 A/B 对比。</w:t>
      </w:r>
    </w:p>
    <w:p w14:paraId="168AD19E">
      <w:r>
        <w:t>要达到接近 ChatGPT 的准确度，通常需要 Qwen2.5-VL-72B、InternVL3-78B 这类模型或云端闭源模型。本地化成本不仅是 GPU，还包括推理服务、显存调度、超时控制、并发队列、模型热加载和日志追踪。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6460"/>
      </w:tblGrid>
      <w:tr w14:paraId="77BE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2526D">
            <w:pPr>
              <w:jc w:val="center"/>
            </w:pPr>
            <w:r>
              <w:rPr>
                <w:b/>
                <w:color w:val="1F4D78"/>
              </w:rPr>
              <w:t>目标</w:t>
            </w:r>
          </w:p>
        </w:tc>
        <w:tc>
          <w:tcPr>
            <w:tcW w:w="64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F21A7">
            <w:pPr>
              <w:jc w:val="center"/>
            </w:pPr>
            <w:r>
              <w:rPr>
                <w:b/>
                <w:color w:val="1F4D78"/>
              </w:rPr>
              <w:t>推荐配置</w:t>
            </w:r>
          </w:p>
        </w:tc>
      </w:tr>
      <w:tr w14:paraId="7792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5D487">
            <w:pPr>
              <w:spacing w:after="40" w:line="276" w:lineRule="auto"/>
            </w:pPr>
            <w:r>
              <w:rPr>
                <w:sz w:val="19"/>
              </w:rPr>
              <w:t>勉强可用，量化模型验证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C14DD">
            <w:pPr>
              <w:spacing w:after="40" w:line="276" w:lineRule="auto"/>
            </w:pPr>
            <w:r>
              <w:rPr>
                <w:sz w:val="19"/>
              </w:rPr>
              <w:t>单卡 RTX 4090 24GB，128GB 内存，NVMe SSD</w:t>
            </w:r>
          </w:p>
        </w:tc>
      </w:tr>
      <w:tr w14:paraId="61CB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113D9">
            <w:pPr>
              <w:spacing w:after="40" w:line="276" w:lineRule="auto"/>
            </w:pPr>
            <w:r>
              <w:rPr>
                <w:sz w:val="19"/>
              </w:rPr>
              <w:t>比较靠谱，小并发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6D5FF">
            <w:pPr>
              <w:spacing w:after="40" w:line="276" w:lineRule="auto"/>
            </w:pPr>
            <w:r>
              <w:rPr>
                <w:sz w:val="19"/>
              </w:rPr>
              <w:t>单卡 RTX 6000 Ada 48GB / L40S 48GB，128-256GB 内存，NVMe SSD</w:t>
            </w:r>
          </w:p>
        </w:tc>
      </w:tr>
      <w:tr w14:paraId="744CF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72FF7">
            <w:pPr>
              <w:spacing w:after="40" w:line="276" w:lineRule="auto"/>
            </w:pPr>
            <w:r>
              <w:rPr>
                <w:sz w:val="19"/>
              </w:rPr>
              <w:t>接近线上大模型体验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2A2AC">
            <w:pPr>
              <w:spacing w:after="40" w:line="276" w:lineRule="auto"/>
            </w:pPr>
            <w:r>
              <w:rPr>
                <w:sz w:val="19"/>
              </w:rPr>
              <w:t>2 张 48GB 级 GPU，或 A100/H100 80GB，256GB 内存</w:t>
            </w:r>
          </w:p>
        </w:tc>
      </w:tr>
      <w:tr w14:paraId="3499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6DA8A">
            <w:pPr>
              <w:spacing w:after="40" w:line="276" w:lineRule="auto"/>
            </w:pPr>
            <w:r>
              <w:rPr>
                <w:sz w:val="19"/>
              </w:rPr>
              <w:t>多用户生产并发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C990C">
            <w:pPr>
              <w:spacing w:after="40" w:line="276" w:lineRule="auto"/>
            </w:pPr>
            <w:r>
              <w:rPr>
                <w:sz w:val="19"/>
              </w:rPr>
              <w:t>多卡 48GB/80GB，单独推理服务，队列限流</w:t>
            </w:r>
          </w:p>
        </w:tc>
      </w:tr>
    </w:tbl>
    <w:p w14:paraId="4D522B87"/>
    <w:p w14:paraId="41E2036E">
      <w:r>
        <w:t>量化模型可以降低显存占用，但会带来代价：</w:t>
      </w:r>
    </w:p>
    <w:p w14:paraId="1E9A8127">
      <w:pPr>
        <w:pStyle w:val="16"/>
      </w:pPr>
      <w:r>
        <w:t>结构化 JSON 稳定性可能下降。</w:t>
      </w:r>
    </w:p>
    <w:p w14:paraId="40576AB1">
      <w:pPr>
        <w:pStyle w:val="16"/>
      </w:pPr>
      <w:r>
        <w:t>小字、印章、表格线、金额位置判断可能变差。</w:t>
      </w:r>
    </w:p>
    <w:p w14:paraId="016A8D45">
      <w:pPr>
        <w:pStyle w:val="16"/>
      </w:pPr>
      <w:r>
        <w:t>中文票据字段纠错能力通常弱于云端大模型。</w:t>
      </w:r>
    </w:p>
    <w:p w14:paraId="680F2919">
      <w:pPr>
        <w:pStyle w:val="16"/>
      </w:pPr>
      <w:r>
        <w:t>高分辨率 PDF 转图片后，推理速度未必理想。</w:t>
      </w:r>
    </w:p>
    <w:p w14:paraId="6A891B25">
      <w:r>
        <w:t>结论：本地量化 VLM 可以作为验证路线，但如果要求接近 ChatGPT 级别准确度和稳定性，服务器预算不会低。单张 RTX 4090 更适合做可行性验证，不宜直接按稳定生产能力预期。</w:t>
      </w:r>
    </w:p>
    <w:p w14:paraId="15A391EF">
      <w:pPr>
        <w:pStyle w:val="3"/>
      </w:pPr>
      <w:r>
        <w:t>2. ocrserver 使用 PaddleOCR server 版模型</w:t>
      </w:r>
    </w:p>
    <w:p w14:paraId="2BC5EF6C">
      <w:r>
        <w:t>这条路线更现实，也更贴近当前 admin3 已变更后的 ocr_raw.bbox 区域解析方案。</w:t>
      </w:r>
    </w:p>
    <w:p w14:paraId="6C8A0D5D">
      <w:r>
        <w:t>PaddleOCR server 版模型主要提升的是 OCR 层能力：</w:t>
      </w:r>
    </w:p>
    <w:p w14:paraId="0E6ADA1A">
      <w:pPr>
        <w:pStyle w:val="16"/>
      </w:pPr>
      <w:r>
        <w:t>文本检测框更稳定。</w:t>
      </w:r>
    </w:p>
    <w:p w14:paraId="3B171743">
      <w:pPr>
        <w:pStyle w:val="16"/>
      </w:pPr>
      <w:r>
        <w:t>小字识别、密集表格识别通常优于 mobile 模型。</w:t>
      </w:r>
    </w:p>
    <w:p w14:paraId="386728AA">
      <w:pPr>
        <w:pStyle w:val="16"/>
      </w:pPr>
      <w:r>
        <w:t>ocr_raw.bbox 坐标质量更好，便于按购方区、销方区、金额区、表格区恢复字段。</w:t>
      </w:r>
    </w:p>
    <w:p w14:paraId="68D74590">
      <w:pPr>
        <w:pStyle w:val="16"/>
      </w:pPr>
      <w:r>
        <w:t>数据不需要外发，适合本地化部署和内网环境。</w:t>
      </w:r>
    </w:p>
    <w:p w14:paraId="338F54C3">
      <w:pPr>
        <w:pStyle w:val="16"/>
      </w:pPr>
      <w:r>
        <w:t>成本、速度、部署复杂度通常低于本地 VLM。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6460"/>
      </w:tblGrid>
      <w:tr w14:paraId="120C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311BB">
            <w:pPr>
              <w:jc w:val="center"/>
            </w:pPr>
            <w:r>
              <w:rPr>
                <w:b/>
                <w:color w:val="1F4D78"/>
              </w:rPr>
              <w:t>场景</w:t>
            </w:r>
          </w:p>
        </w:tc>
        <w:tc>
          <w:tcPr>
            <w:tcW w:w="64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69EA8">
            <w:pPr>
              <w:jc w:val="center"/>
            </w:pPr>
            <w:r>
              <w:rPr>
                <w:b/>
                <w:color w:val="1F4D78"/>
              </w:rPr>
              <w:t>推荐配置</w:t>
            </w:r>
          </w:p>
        </w:tc>
      </w:tr>
      <w:tr w14:paraId="33ADE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04F59">
            <w:pPr>
              <w:spacing w:after="40" w:line="276" w:lineRule="auto"/>
            </w:pPr>
            <w:r>
              <w:rPr>
                <w:sz w:val="19"/>
              </w:rPr>
              <w:t>本地开发 / 低并发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1A2A5">
            <w:pPr>
              <w:spacing w:after="40" w:line="276" w:lineRule="auto"/>
            </w:pPr>
            <w:r>
              <w:rPr>
                <w:sz w:val="19"/>
              </w:rPr>
              <w:t>8 核 CPU，32GB 内存，可无 GPU，但速度较慢</w:t>
            </w:r>
          </w:p>
        </w:tc>
      </w:tr>
      <w:tr w14:paraId="7218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EC0CE">
            <w:pPr>
              <w:spacing w:after="40" w:line="276" w:lineRule="auto"/>
            </w:pPr>
            <w:r>
              <w:rPr>
                <w:sz w:val="19"/>
              </w:rPr>
              <w:t>稳定服务版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57311">
            <w:pPr>
              <w:spacing w:after="40" w:line="276" w:lineRule="auto"/>
            </w:pPr>
            <w:r>
              <w:rPr>
                <w:sz w:val="19"/>
              </w:rPr>
              <w:t>16 核 CPU，64GB 内存，RTX 3060/4060Ti 16GB 以上</w:t>
            </w:r>
          </w:p>
        </w:tc>
      </w:tr>
      <w:tr w14:paraId="1A183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81BD6">
            <w:pPr>
              <w:spacing w:after="40" w:line="276" w:lineRule="auto"/>
            </w:pPr>
            <w:r>
              <w:rPr>
                <w:sz w:val="19"/>
              </w:rPr>
              <w:t>比较舒服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AF686">
            <w:pPr>
              <w:spacing w:after="40" w:line="276" w:lineRule="auto"/>
            </w:pPr>
            <w:r>
              <w:rPr>
                <w:sz w:val="19"/>
              </w:rPr>
              <w:t>16-32 核 CPU，128GB 内存，RTX 4090 24GB</w:t>
            </w:r>
          </w:p>
        </w:tc>
      </w:tr>
      <w:tr w14:paraId="067C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DD54F">
            <w:pPr>
              <w:spacing w:after="40" w:line="276" w:lineRule="auto"/>
            </w:pPr>
            <w:r>
              <w:rPr>
                <w:sz w:val="19"/>
              </w:rPr>
              <w:t>小型生产</w:t>
            </w:r>
          </w:p>
        </w:tc>
        <w:tc>
          <w:tcPr>
            <w:tcW w:w="6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E2217">
            <w:pPr>
              <w:spacing w:after="40" w:line="276" w:lineRule="auto"/>
            </w:pPr>
            <w:r>
              <w:rPr>
                <w:sz w:val="19"/>
              </w:rPr>
              <w:t>32 核 CPU，128GB 内存，L4 24GB / L40S 48GB</w:t>
            </w:r>
          </w:p>
        </w:tc>
      </w:tr>
    </w:tbl>
    <w:p w14:paraId="51CE5127"/>
    <w:p w14:paraId="0F4D68B9">
      <w:r>
        <w:t>需要注意：PaddleOCR server 版不是大模型理解能力。它主要做文字检测和文字识别，不会天然知道哪个金额是价税合计、哪个金额是税额、哪个名称属于购买方或销售方。</w:t>
      </w:r>
    </w:p>
    <w:p w14:paraId="0DA5312F">
      <w:r>
        <w:t>因此，即使换成 server 版模型，字段结构化仍然要依赖 admin3 当前方案：</w:t>
      </w:r>
    </w:p>
    <w:p w14:paraId="5D377B33">
      <w:pPr>
        <w:pStyle w:val="16"/>
      </w:pPr>
      <w:r>
        <w:t>ocr_raw.bbox 区域解析。</w:t>
      </w:r>
    </w:p>
    <w:p w14:paraId="127B317B">
      <w:pPr>
        <w:pStyle w:val="16"/>
      </w:pPr>
      <w:r>
        <w:t>锚点定位。</w:t>
      </w:r>
    </w:p>
    <w:p w14:paraId="2BD352AF">
      <w:pPr>
        <w:pStyle w:val="16"/>
      </w:pPr>
      <w:r>
        <w:t>表格区恢复。</w:t>
      </w:r>
    </w:p>
    <w:p w14:paraId="70012D81">
      <w:pPr>
        <w:pStyle w:val="16"/>
      </w:pPr>
      <w:r>
        <w:t>PDF 文本层正则补字段。</w:t>
      </w:r>
    </w:p>
    <w:p w14:paraId="330D2FA4">
      <w:pPr>
        <w:pStyle w:val="16"/>
      </w:pPr>
      <w:r>
        <w:t>业务规则校准和兜底。</w:t>
      </w:r>
    </w:p>
    <w:p w14:paraId="56F9CEF9">
      <w:pPr>
        <w:pStyle w:val="3"/>
      </w:pPr>
      <w:r>
        <w:t>3. 方案建议</w:t>
      </w:r>
    </w:p>
    <w:p w14:paraId="39DA6403">
      <w:r>
        <w:t>当前建议优先级：</w:t>
      </w:r>
    </w:p>
    <w:p w14:paraId="2729DC29">
      <w:pPr>
        <w:pStyle w:val="14"/>
      </w:pPr>
      <w:r>
        <w:t>优先把 ocrserver 升级为 PaddleOCR server 版模型，并继续强化 ocr_raw.bbox 区域解析。</w:t>
      </w:r>
    </w:p>
    <w:p w14:paraId="08D9864F">
      <w:pPr>
        <w:pStyle w:val="14"/>
      </w:pPr>
      <w:r>
        <w:t>保留 PDF 文本正则作为兼容支路，不再把固定正则作为真实用户票据的唯一主方案。</w:t>
      </w:r>
    </w:p>
    <w:p w14:paraId="3539ECDE">
      <w:pPr>
        <w:pStyle w:val="14"/>
      </w:pPr>
      <w:r>
        <w:t>暂不优先投入本地 VLM 生产化，除非业务明确要求数据完全不出本地且预算允许较高 GPU 配置。</w:t>
      </w:r>
    </w:p>
    <w:p w14:paraId="4A6EC45E">
      <w:pPr>
        <w:pStyle w:val="14"/>
      </w:pPr>
      <w:r>
        <w:t>本地 VLM 可作为后续实验方向，用少量疑难票据验证它是否能补足 bbox + 规则方案无法覆盖的异常结构。</w:t>
      </w:r>
    </w:p>
    <w:p w14:paraId="5EF493B8">
      <w:pPr>
        <w:spacing w:before="120" w:after="0"/>
      </w:pPr>
      <w:r>
        <w:rPr>
          <w:b/>
        </w:rPr>
        <w:t>总体判断：</w:t>
      </w:r>
      <w:r>
        <w:t>PaddleOCR server 版 + bbox 区域解析，是当前性价比最高、最贴近现有系统改造方向的路线；本地 VLM 更像高成本增强路线，不适合作为第一阶段默认方案。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19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2020</Words>
  <Characters>3166</Characters>
  <Lines>0</Lines>
  <Paragraphs>0</Paragraphs>
  <TotalTime>1</TotalTime>
  <ScaleCrop>false</ScaleCrop>
  <LinksUpToDate>false</LinksUpToDate>
  <CharactersWithSpaces>3426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花皮</cp:lastModifiedBy>
  <dcterms:modified xsi:type="dcterms:W3CDTF">2026-07-29T06:45:01Z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eyJoZGlkIjoiOWEyYmU1ZWQ1NGE5ODEwYmU3ZWJmZmE1MTJjYzllODYiLCJ1c2VySWQiOiI1OTA3NzYwMjMifQ==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09FF674CFA044F5AAE2FBD52A8721A87_12</vt:lpwstr>
  </property>
</Properties>
</file>