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ĐỐI SÁNH CatSA VỚI CÁC MÔ HÌNH SESSION-BASED RECOMMENDATION</w:t>
      </w:r>
    </w:p>
    <w:p>
      <w:pPr>
        <w:jc w:val="center"/>
      </w:pPr>
      <w:r>
        <w:rPr>
          <w:i/>
          <w:sz w:val="24"/>
        </w:rPr>
        <w:t>Tổng hợp kết quả đã công bố &amp; mục tiêu tối thiểu trên các bộ dữ liệu</w:t>
      </w:r>
    </w:p>
    <w:p>
      <w:pPr>
        <w:jc w:val="center"/>
      </w:pPr>
      <w:r>
        <w:rPr>
          <w:sz w:val="20"/>
        </w:rPr>
        <w:t>Ngày lập: 08/07/2026</w:t>
      </w:r>
    </w:p>
    <w:p/>
    <w:p>
      <w:pPr>
        <w:pStyle w:val="Heading1"/>
      </w:pPr>
      <w:r>
        <w:t>1. Bối cảnh &amp; phương pháp đánh giá</w:t>
      </w:r>
    </w:p>
    <w:p>
      <w:r>
        <w:t>Trong bài toán gợi ý dựa trên phiên (Session-based Recommendation - SBR), người ta KHÔNG dùng "độ chính xác" kiểu phân loại (% dự đoán đúng) mà dùng các chỉ số xếp hạng (ranking metrics):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Chỉ số</w:t>
            </w:r>
          </w:p>
        </w:tc>
        <w:tc>
          <w:tcPr>
            <w:tcW w:type="dxa" w:w="432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Ý nghĩa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HR@K / Recall@K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Tỷ lệ phiên có item đúng nằm trong top-K gợi ý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MRR@K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Nghịch đảo thứ hạng trung bình của item đúng (càng cao càng tốt)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NDCG@K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Chất lượng xếp hạng có trọng số theo vị trí</w:t>
            </w:r>
          </w:p>
        </w:tc>
      </w:tr>
    </w:tbl>
    <w:p/>
    <w:p>
      <w:r>
        <w:rPr>
          <w:b/>
        </w:rPr>
        <w:t xml:space="preserve">Lưu ý quan trọng: </w:t>
      </w:r>
      <w:r>
        <w:t>Kết quả thay đổi rất mạnh theo cách chia dữ liệu (protocol). Vì vậy chỉ được so sánh các mô hình dùng CÙNG protocol. CatSA dùng protocol chia 8:1:1 theo thời gian + full-ranking, giống với bài LINK (SIGIR 2025) — đây là nhóm benchmark hợp lệ để đối sánh.</w:t>
      </w:r>
    </w:p>
    <w:p>
      <w:pPr>
        <w:pStyle w:val="Heading1"/>
      </w:pPr>
      <w:r>
        <w:t>2. Protocol đánh giá của CatSA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Thành phần</w:t>
            </w:r>
          </w:p>
        </w:tc>
        <w:tc>
          <w:tcPr>
            <w:tcW w:type="dxa" w:w="432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Cấu hình CatSA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Dataset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RetailRocket (chỉ sự kiện view)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Sessionize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Cắt phiên theo cùng ngày lịch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Lọc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item support ≥ 5; phiên ≥ 2 item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Chia dữ liệu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8:1:1 theo thời gian (train / val / test)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Đánh giá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Iterative reveal + full-ranking trên toàn bộ vocabulary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Metric chính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MRR@20 (kèm HR@20, NDCG@20)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Đặc trưng model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Category taxonomy (item/leaf/parent) + GNN + Contrastive Learning</w:t>
            </w:r>
          </w:p>
        </w:tc>
      </w:tr>
    </w:tbl>
    <w:p/>
    <w:p>
      <w:r>
        <w:t>→ Protocol này KHỚP với LINK, CORE, MSGIFSR, SR-GNN, GCE-GNN (RecBole-style). KHÔNG khớp với ECIR 2024 (last-day split, MRR có thể lên tới ~63%).</w:t>
      </w:r>
    </w:p>
    <w:p>
      <w:pPr>
        <w:pStyle w:val="Heading1"/>
      </w:pPr>
      <w:r>
        <w:t>3. Các mô hình đối thủ</w:t>
      </w:r>
    </w:p>
    <w:p>
      <w:r>
        <w:t>Nhóm đối thủ trực tiếp (cùng protocol 8:1:1 temporal):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Mô hình</w:t>
            </w:r>
          </w:p>
        </w:tc>
        <w:tc>
          <w:tcPr>
            <w:tcW w:type="dxa" w:w="288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Năm</w:t>
            </w:r>
          </w:p>
        </w:tc>
        <w:tc>
          <w:tcPr>
            <w:tcW w:type="dxa" w:w="288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Vai trò đối sánh với CatSA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LINK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SIGIR 2025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SOTA gần nhất, cùng protocol — benchmark chính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MSGIFSR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SIGIR 2022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Neural SOTA (thường cao nhất về MRR)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CORE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SIGIR 2022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Đã có sẵn trong repo, cùng pipeline tiền xử lý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GCE-GNN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SIGIR 2020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Đối thủ QUAN TRỌNG NHẤT về ý tưởng (dùng category)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SCL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2024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Đối thủ về contrastive learning (giống Module 2 + InfoNCE)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SR-GNN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AAAI 2019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Nền tảng GNN session (CatSA kế thừa readout)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NARM / GRU4Rec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2017 / 2016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Baseline RNN cổ điển</w:t>
            </w:r>
          </w:p>
        </w:tc>
      </w:tr>
    </w:tbl>
    <w:p>
      <w:pPr>
        <w:pStyle w:val="Heading1"/>
      </w:pPr>
      <w:r>
        <w:t>4. Kết quả đã công bố của đối thủ (protocol LINK, R@20 / M@20 %)</w:t>
      </w:r>
    </w:p>
    <w:p>
      <w:r>
        <w:t>Nguồn: LINK (SIGIR 2025), Table 2. Số in đậm là tốt nhất mỗi cột.</w:t>
      </w:r>
    </w:p>
    <w:p>
      <w:pPr>
        <w:pStyle w:val="Heading2"/>
      </w:pPr>
      <w:r>
        <w:t>4.1. RetailRocket (bộ dữ liệu chính)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Mô hình</w:t>
            </w:r>
          </w:p>
        </w:tc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R@20 (HR)</w:t>
            </w:r>
          </w:p>
        </w:tc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M@20 (MRR)</w:t>
            </w:r>
          </w:p>
        </w:tc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Loại</w:t>
            </w:r>
          </w:p>
        </w:tc>
      </w:tr>
      <w:tr>
        <w:tc>
          <w:tcPr>
            <w:tcW w:type="dxa" w:w="2160"/>
            <w:shd w:val="clear" w:fill="FFF2CC"/>
          </w:tcPr>
          <w:p>
            <w:pPr>
              <w:jc w:val="left"/>
            </w:pPr>
            <w:r/>
            <w:r>
              <w:rPr>
                <w:b/>
                <w:sz w:val="18"/>
              </w:rPr>
              <w:t>LINK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62.74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38.97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Linear+Neural</w:t>
            </w:r>
          </w:p>
        </w:tc>
      </w:tr>
      <w:tr>
        <w:tc>
          <w:tcPr>
            <w:tcW w:type="dxa" w:w="2160"/>
            <w:shd w:val="clear" w:fill="FFF2CC"/>
          </w:tcPr>
          <w:p>
            <w:pPr>
              <w:jc w:val="left"/>
            </w:pPr>
            <w:r/>
            <w:r>
              <w:rPr>
                <w:b/>
                <w:sz w:val="18"/>
              </w:rPr>
              <w:t>MSGIFSR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62.67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39.08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Neural GNN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CORE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62.00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38.17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SWalk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61.31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38.79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Linear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DSAN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61.00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38.76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NISER+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60.70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37.95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GCE-GNN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60.42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35.70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 + category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SLIST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60.10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37.69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Linear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SR-GNN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58.72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35.49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 GNN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NARM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59.21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35.61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 RNN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GRU4Rec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57.79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34.87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 RNN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STAMP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53.86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31.89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</w:t>
            </w:r>
          </w:p>
        </w:tc>
      </w:tr>
    </w:tbl>
    <w:p>
      <w:pPr>
        <w:pStyle w:val="Heading2"/>
      </w:pPr>
      <w:r>
        <w:t>4.2. Diginetica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Mô hình</w:t>
            </w:r>
          </w:p>
        </w:tc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R@20</w:t>
            </w:r>
          </w:p>
        </w:tc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M@20</w:t>
            </w:r>
          </w:p>
        </w:tc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Loại</w:t>
            </w:r>
          </w:p>
        </w:tc>
      </w:tr>
      <w:tr>
        <w:tc>
          <w:tcPr>
            <w:tcW w:type="dxa" w:w="2160"/>
            <w:shd w:val="clear" w:fill="FFF2CC"/>
          </w:tcPr>
          <w:p>
            <w:pPr>
              <w:jc w:val="left"/>
            </w:pPr>
            <w:r/>
            <w:r>
              <w:rPr>
                <w:b/>
                <w:sz w:val="18"/>
              </w:rPr>
              <w:t>LINK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53.62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19.22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Linear+Neural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MSGIFSR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52.54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19.06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CORE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52.87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18.59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SCL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52.03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18.84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 + CL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DSAN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51.64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18.32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SWalk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51.19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18.76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Linear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NISER+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50.80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17.91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GCE-GNN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50.46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17.71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 + category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SR-GNN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48.41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16.45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 GNN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NARM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48.09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16.01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 RNN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GRU4Rec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47.19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15.73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 RNN</w:t>
            </w:r>
          </w:p>
        </w:tc>
      </w:tr>
    </w:tbl>
    <w:p>
      <w:pPr>
        <w:pStyle w:val="Heading2"/>
      </w:pPr>
      <w:r>
        <w:t>4.3. Yoochoose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Mô hình</w:t>
            </w:r>
          </w:p>
        </w:tc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R@20</w:t>
            </w:r>
          </w:p>
        </w:tc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M@20</w:t>
            </w:r>
          </w:p>
        </w:tc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Loại</w:t>
            </w:r>
          </w:p>
        </w:tc>
      </w:tr>
      <w:tr>
        <w:tc>
          <w:tcPr>
            <w:tcW w:type="dxa" w:w="2160"/>
            <w:shd w:val="clear" w:fill="FFF2CC"/>
          </w:tcPr>
          <w:p>
            <w:pPr>
              <w:jc w:val="left"/>
            </w:pPr>
            <w:r/>
            <w:r>
              <w:rPr>
                <w:b/>
                <w:sz w:val="18"/>
              </w:rPr>
              <w:t>LINK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64.90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28.82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Linear+Neural</w:t>
            </w:r>
          </w:p>
        </w:tc>
      </w:tr>
      <w:tr>
        <w:tc>
          <w:tcPr>
            <w:tcW w:type="dxa" w:w="2160"/>
            <w:shd w:val="clear" w:fill="FFF2CC"/>
          </w:tcPr>
          <w:p>
            <w:pPr>
              <w:jc w:val="left"/>
            </w:pPr>
            <w:r/>
            <w:r>
              <w:rPr>
                <w:b/>
                <w:sz w:val="18"/>
              </w:rPr>
              <w:t>MSGIFSR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64.81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30.41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Neural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CORE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64.57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28.35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SCL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63.47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29.07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 + CL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DSAN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63.44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29.08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NISER+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63.33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29.02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GCE-GNN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63.31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28.95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 + category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SR-GNN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62.10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28.17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 GNN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NARM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62.43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28.25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 RNN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GRU4Rec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61.16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27.19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 RNN</w:t>
            </w:r>
          </w:p>
        </w:tc>
      </w:tr>
    </w:tbl>
    <w:p>
      <w:pPr>
        <w:pStyle w:val="Heading2"/>
      </w:pPr>
      <w:r>
        <w:t>4.4. Tmall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Mô hình</w:t>
            </w:r>
          </w:p>
        </w:tc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R@20</w:t>
            </w:r>
          </w:p>
        </w:tc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M@20</w:t>
            </w:r>
          </w:p>
        </w:tc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Loại</w:t>
            </w:r>
          </w:p>
        </w:tc>
      </w:tr>
      <w:tr>
        <w:tc>
          <w:tcPr>
            <w:tcW w:type="dxa" w:w="2160"/>
            <w:shd w:val="clear" w:fill="FFF2CC"/>
          </w:tcPr>
          <w:p>
            <w:pPr>
              <w:jc w:val="left"/>
            </w:pPr>
            <w:r/>
            <w:r>
              <w:rPr>
                <w:b/>
                <w:sz w:val="18"/>
              </w:rPr>
              <w:t>LINK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55.98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32.78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Linear+Neural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MSGIFSR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53.07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29.20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CORE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44.88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31.49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DSAN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42.87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30.94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SWalk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48.77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29.52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Linear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SLIST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47.43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28.93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Linear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SCL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38.55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28.33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 + CL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GCE-GNN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36.25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26.73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 + category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SR-GNN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34.78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24.82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 GNN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NARM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35.55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24.58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 RNN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GRU4Rec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33.87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23.37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Neural RNN</w:t>
            </w:r>
          </w:p>
        </w:tc>
      </w:tr>
    </w:tbl>
    <w:p>
      <w:pPr>
        <w:pStyle w:val="Heading2"/>
      </w:pPr>
      <w:r>
        <w:t>4.5. Dressipi &amp; LastFM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Mô hình</w:t>
            </w:r>
          </w:p>
        </w:tc>
        <w:tc>
          <w:tcPr>
            <w:tcW w:type="dxa" w:w="1728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Dressipi R@20</w:t>
            </w:r>
          </w:p>
        </w:tc>
        <w:tc>
          <w:tcPr>
            <w:tcW w:type="dxa" w:w="1728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Dressipi M@20</w:t>
            </w:r>
          </w:p>
        </w:tc>
        <w:tc>
          <w:tcPr>
            <w:tcW w:type="dxa" w:w="1728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LastFM R@20</w:t>
            </w:r>
          </w:p>
        </w:tc>
        <w:tc>
          <w:tcPr>
            <w:tcW w:type="dxa" w:w="1728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LastFM M@20</w:t>
            </w:r>
          </w:p>
        </w:tc>
      </w:tr>
      <w:tr>
        <w:tc>
          <w:tcPr>
            <w:tcW w:type="dxa" w:w="1728"/>
            <w:shd w:val="clear" w:fill="FFF2CC"/>
          </w:tcPr>
          <w:p>
            <w:pPr>
              <w:jc w:val="left"/>
            </w:pPr>
            <w:r/>
            <w:r>
              <w:rPr>
                <w:b/>
                <w:sz w:val="18"/>
              </w:rPr>
              <w:t>LINK</w:t>
            </w:r>
          </w:p>
        </w:tc>
        <w:tc>
          <w:tcPr>
            <w:tcW w:type="dxa" w:w="1728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41.39</w:t>
            </w:r>
          </w:p>
        </w:tc>
        <w:tc>
          <w:tcPr>
            <w:tcW w:type="dxa" w:w="1728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16.38</w:t>
            </w:r>
          </w:p>
        </w:tc>
        <w:tc>
          <w:tcPr>
            <w:tcW w:type="dxa" w:w="1728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25.14</w:t>
            </w:r>
          </w:p>
        </w:tc>
        <w:tc>
          <w:tcPr>
            <w:tcW w:type="dxa" w:w="1728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7.97</w:t>
            </w:r>
          </w:p>
        </w:tc>
      </w:tr>
      <w:tr>
        <w:tc>
          <w:tcPr>
            <w:tcW w:type="dxa" w:w="1728"/>
            <w:shd w:val="clear" w:fill="FFF2CC"/>
          </w:tcPr>
          <w:p>
            <w:pPr>
              <w:jc w:val="left"/>
            </w:pPr>
            <w:r/>
            <w:r>
              <w:rPr>
                <w:b/>
                <w:sz w:val="18"/>
              </w:rPr>
              <w:t>MSGIFSR</w:t>
            </w:r>
          </w:p>
        </w:tc>
        <w:tc>
          <w:tcPr>
            <w:tcW w:type="dxa" w:w="1728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40.33</w:t>
            </w:r>
          </w:p>
        </w:tc>
        <w:tc>
          <w:tcPr>
            <w:tcW w:type="dxa" w:w="1728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16.11</w:t>
            </w:r>
          </w:p>
        </w:tc>
        <w:tc>
          <w:tcPr>
            <w:tcW w:type="dxa" w:w="1728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25.00</w:t>
            </w:r>
          </w:p>
        </w:tc>
        <w:tc>
          <w:tcPr>
            <w:tcW w:type="dxa" w:w="1728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10.17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/>
                <w:sz w:val="18"/>
              </w:rPr>
              <w:t>CORE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38.33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15.70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22.82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8.16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/>
                <w:sz w:val="18"/>
              </w:rPr>
              <w:t>GCE-GNN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37.23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14.97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22.75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8.35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/>
                <w:sz w:val="18"/>
              </w:rPr>
              <w:t>SR-GNN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35.62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14.14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21.45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8.63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/>
                <w:sz w:val="18"/>
              </w:rPr>
              <w:t>NARM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37.40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14.80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20.91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7.34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/>
                <w:sz w:val="18"/>
              </w:rPr>
              <w:t>GRU4Rec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35.33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13.74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20.88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7.21</w:t>
            </w:r>
          </w:p>
        </w:tc>
      </w:tr>
    </w:tbl>
    <w:p>
      <w:r>
        <w:br w:type="page"/>
      </w:r>
    </w:p>
    <w:p>
      <w:pPr>
        <w:pStyle w:val="Heading1"/>
      </w:pPr>
      <w:r>
        <w:t>5. Mục tiêu độ chính xác tối thiểu của CatSA</w:t>
      </w:r>
    </w:p>
    <w:p>
      <w:r>
        <w:t>Bốn mức mục tiêu (đo trên TEST set, không phải validation). Metric chính là MRR@20.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Mức</w:t>
            </w:r>
          </w:p>
        </w:tc>
        <w:tc>
          <w:tcPr>
            <w:tcW w:type="dxa" w:w="288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Ý nghĩa</w:t>
            </w:r>
          </w:p>
        </w:tc>
        <w:tc>
          <w:tcPr>
            <w:tcW w:type="dxa" w:w="288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Điều kiện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Tối thiểu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Có thể submit nhưng dễ bị từ chối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Vượt GRU4Rec / NARM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Khả thi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Paper category/CL có lý do tồn tại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Vượt SR-GNN và GCE-GNN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Cạnh tranh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Đủ mạnh để reviewer chấp nhận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Vượt hoặc ngang CORE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SOTA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Có thể claim state-of-the-art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Vượt MSGIFSR / LINK</w:t>
            </w:r>
          </w:p>
        </w:tc>
      </w:tr>
    </w:tbl>
    <w:p>
      <w:pPr>
        <w:pStyle w:val="Heading2"/>
      </w:pPr>
      <w:r>
        <w:t>5.1. RetailRocket (dataset chính)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Mức</w:t>
            </w:r>
          </w:p>
        </w:tc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MRR@20 tối thiểu</w:t>
            </w:r>
          </w:p>
        </w:tc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HR@20 tối thiểu</w:t>
            </w:r>
          </w:p>
        </w:tc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 với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Tối thiểu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&gt; 35.0%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&gt; 58%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GRU4Rec (34.87 / 57.79)</w:t>
            </w:r>
          </w:p>
        </w:tc>
      </w:tr>
      <w:tr>
        <w:tc>
          <w:tcPr>
            <w:tcW w:type="dxa" w:w="2160"/>
            <w:shd w:val="clear" w:fill="FFF2CC"/>
          </w:tcPr>
          <w:p>
            <w:pPr>
              <w:jc w:val="left"/>
            </w:pPr>
            <w:r/>
            <w:r>
              <w:rPr>
                <w:b/>
                <w:sz w:val="18"/>
              </w:rPr>
              <w:t>Khả thi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&gt; 35.7%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&gt; 60%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GCE-GNN (35.70 / 60.42) — bắt buộc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Cạnh tranh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≥ 38.2%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≥ 62%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CORE (38.17 / 62.00)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SOTA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&gt; 39.1%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&gt; 62.7%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MSGIFSR / LINK (~39.0 / ~62.7)</w:t>
            </w:r>
          </w:p>
        </w:tc>
      </w:tr>
    </w:tbl>
    <w:p>
      <w:pPr>
        <w:pStyle w:val="Heading2"/>
      </w:pPr>
      <w:r>
        <w:t>5.2. Diginetica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Mức</w:t>
            </w:r>
          </w:p>
        </w:tc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MRR@20</w:t>
            </w:r>
          </w:p>
        </w:tc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HR@20</w:t>
            </w:r>
          </w:p>
        </w:tc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 với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Tối thiểu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&gt; 16.0%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&gt; 48%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NARM</w:t>
            </w:r>
          </w:p>
        </w:tc>
      </w:tr>
      <w:tr>
        <w:tc>
          <w:tcPr>
            <w:tcW w:type="dxa" w:w="2160"/>
            <w:shd w:val="clear" w:fill="FFF2CC"/>
          </w:tcPr>
          <w:p>
            <w:pPr>
              <w:jc w:val="left"/>
            </w:pPr>
            <w:r/>
            <w:r>
              <w:rPr>
                <w:b/>
                <w:sz w:val="18"/>
              </w:rPr>
              <w:t>Khả thi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&gt; 17.7%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&gt; 50%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GCE-GNN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Cạnh tranh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≥ 18.6%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≥ 53%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CORE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SOTA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&gt; 19.2%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&gt; 53.6%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LINK</w:t>
            </w:r>
          </w:p>
        </w:tc>
      </w:tr>
    </w:tbl>
    <w:p>
      <w:pPr>
        <w:pStyle w:val="Heading2"/>
      </w:pPr>
      <w:r>
        <w:t>5.3. Yoochoose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Mức</w:t>
            </w:r>
          </w:p>
        </w:tc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MRR@20</w:t>
            </w:r>
          </w:p>
        </w:tc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HR@20</w:t>
            </w:r>
          </w:p>
        </w:tc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 với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Tối thiểu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&gt; 28.3%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&gt; 62%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NARM</w:t>
            </w:r>
          </w:p>
        </w:tc>
      </w:tr>
      <w:tr>
        <w:tc>
          <w:tcPr>
            <w:tcW w:type="dxa" w:w="2160"/>
            <w:shd w:val="clear" w:fill="FFF2CC"/>
          </w:tcPr>
          <w:p>
            <w:pPr>
              <w:jc w:val="left"/>
            </w:pPr>
            <w:r/>
            <w:r>
              <w:rPr>
                <w:b/>
                <w:sz w:val="18"/>
              </w:rPr>
              <w:t>Khả thi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&gt; 28.9%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&gt; 63%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GCE-GNN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Cạnh tranh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≥ 28.4%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≥ 64.6%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CORE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SOTA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&gt; 30.4%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&gt; 64.9%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MSGIFSR / LINK</w:t>
            </w:r>
          </w:p>
        </w:tc>
      </w:tr>
    </w:tbl>
    <w:p>
      <w:pPr>
        <w:pStyle w:val="Heading2"/>
      </w:pPr>
      <w:r>
        <w:t>5.4. Tmall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Mức</w:t>
            </w:r>
          </w:p>
        </w:tc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MRR@20</w:t>
            </w:r>
          </w:p>
        </w:tc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HR@20</w:t>
            </w:r>
          </w:p>
        </w:tc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 với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Tối thiểu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&gt; 24.6%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&gt; 35%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NARM</w:t>
            </w:r>
          </w:p>
        </w:tc>
      </w:tr>
      <w:tr>
        <w:tc>
          <w:tcPr>
            <w:tcW w:type="dxa" w:w="2160"/>
            <w:shd w:val="clear" w:fill="FFF2CC"/>
          </w:tcPr>
          <w:p>
            <w:pPr>
              <w:jc w:val="left"/>
            </w:pPr>
            <w:r/>
            <w:r>
              <w:rPr>
                <w:b/>
                <w:sz w:val="18"/>
              </w:rPr>
              <w:t>Khả thi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&gt; 26.7%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&gt; 36%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GCE-GNN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Cạnh tranh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≥ 31.5%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≥ 45%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CORE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SOTA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&gt; 32.8%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&gt; 56%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LINK</w:t>
            </w:r>
          </w:p>
        </w:tc>
      </w:tr>
    </w:tbl>
    <w:p>
      <w:pPr>
        <w:pStyle w:val="Heading1"/>
      </w:pPr>
      <w:r>
        <w:t>6. Hiện trạng CatSA &amp; khoảng cách mục tiêu</w:t>
      </w:r>
    </w:p>
    <w:p>
      <w:r>
        <w:t>Kết quả tốt nhất hiện tại của CatSA (biến thể dual_path, đo trên validation, RetailRocket):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Mô hình</w:t>
            </w:r>
          </w:p>
        </w:tc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MRR@20</w:t>
            </w:r>
          </w:p>
        </w:tc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HR@20</w:t>
            </w:r>
          </w:p>
        </w:tc>
        <w:tc>
          <w:tcPr>
            <w:tcW w:type="dxa" w:w="2160"/>
            <w:shd w:val="clear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2160"/>
            <w:shd w:val="clear" w:fill="FFF2CC"/>
          </w:tcPr>
          <w:p>
            <w:pPr>
              <w:jc w:val="left"/>
            </w:pPr>
            <w:r/>
            <w:r>
              <w:rPr>
                <w:b/>
                <w:sz w:val="18"/>
              </w:rPr>
              <w:t>CatSA enc_dual_path (hiện tại)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~29.4%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~51.7%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Validation, epoch 8, đang train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Mục tiêu KHẢ THI (GCE-GNN)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35.7%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60.4%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Cần vượt để paper hợp lý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Mục tiêu CẠNH TRANH (CORE)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38.2%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62.0%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Mục tiêu nên đạt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Mục tiêu SOTA (MSGIFSR/LINK)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39.0%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62.7%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Mục tiêu lý tưởng</w:t>
            </w:r>
          </w:p>
        </w:tc>
      </w:tr>
    </w:tbl>
    <w:p/>
    <w:p>
      <w:r>
        <w:rPr>
          <w:b/>
        </w:rPr>
        <w:t xml:space="preserve">Khoảng cách: </w:t>
      </w:r>
      <w:r>
        <w:t>CatSA hiện đạt ~29% MRR@20, còn cách mục tiêu khả thi (GCE-GNN 35.7%) khoảng 6-7 điểm MRR. Cần cải thiện thêm ~7-10 điểm MRR trên test set để đủ sức cạnh tranh.</w:t>
      </w:r>
    </w:p>
    <w:p>
      <w:pPr>
        <w:pStyle w:val="Heading1"/>
      </w:pPr>
      <w:r>
        <w:t>7. Khuyến nghị</w:t>
      </w:r>
    </w:p>
    <w:p>
      <w:pPr>
        <w:pStyle w:val="ListBullet"/>
      </w:pPr>
      <w:r>
        <w:t>Bắt buộc thắng GCE-GNN trên MỌI dataset báo cáo — vì CatSA cũng dùng category, đây là đối thủ lõi về mặt ý tưởng.</w:t>
      </w:r>
    </w:p>
    <w:p>
      <w:pPr>
        <w:pStyle w:val="ListBullet"/>
      </w:pPr>
      <w:r>
        <w:t>Nên báo cáo tối thiểu 2 dataset (RetailRocket + Diginetica) để paper thuyết phục.</w:t>
      </w:r>
    </w:p>
    <w:p>
      <w:pPr>
        <w:pStyle w:val="ListBullet"/>
      </w:pPr>
      <w:r>
        <w:t>Chạy baseline CORE trên cùng data/retailrocket_item_hon_5 (đã có sẵn CORE/main.py) để có số đối chứng công bằng trên chính pipeline của mình.</w:t>
      </w:r>
    </w:p>
    <w:p>
      <w:pPr>
        <w:pStyle w:val="ListBullet"/>
      </w:pPr>
      <w:r>
        <w:t>KHÔNG so CatSA với VSTAN/VSKNN (ECIR 2024, MRR ~63%) — đó là protocol last-day khác biệt, so sánh sẽ không công bằng và bị reviewer bắt lỗi.</w:t>
      </w:r>
    </w:p>
    <w:p>
      <w:pPr>
        <w:pStyle w:val="ListBullet"/>
      </w:pPr>
      <w:r>
        <w:t>Mục tiêu một dòng: trên RetailRocket cần MRR@20 ≥ 36% (thắng GCE-GNN), lý tưởng ≥ 38% (thắng CORE), tốt nhất ≥ 39% (thắng LINK/MSGIFSR).</w:t>
      </w:r>
    </w:p>
    <w:p>
      <w:pPr>
        <w:pStyle w:val="Heading1"/>
      </w:pPr>
      <w:r>
        <w:t>8. Nguồn tham khảo</w:t>
      </w:r>
    </w:p>
    <w:p>
      <w:pPr>
        <w:pStyle w:val="ListBullet"/>
      </w:pPr>
      <w:r>
        <w:rPr>
          <w:sz w:val="20"/>
        </w:rPr>
        <w:t>LINK — Linear Item-Item Model with Neural Knowledge for SBR, SIGIR 2025 (arXiv:2504.15057).</w:t>
      </w:r>
    </w:p>
    <w:p>
      <w:pPr>
        <w:pStyle w:val="ListBullet"/>
      </w:pPr>
      <w:r>
        <w:rPr>
          <w:sz w:val="20"/>
        </w:rPr>
        <w:t>MSGIFSR — Guo et al., SIGIR 2022.</w:t>
      </w:r>
    </w:p>
    <w:p>
      <w:pPr>
        <w:pStyle w:val="ListBullet"/>
      </w:pPr>
      <w:r>
        <w:rPr>
          <w:sz w:val="20"/>
        </w:rPr>
        <w:t>CORE — Hou et al., SIGIR 2022.</w:t>
      </w:r>
    </w:p>
    <w:p>
      <w:pPr>
        <w:pStyle w:val="ListBullet"/>
      </w:pPr>
      <w:r>
        <w:rPr>
          <w:sz w:val="20"/>
        </w:rPr>
        <w:t>GCE-GNN — Wang et al., SIGIR 2020.</w:t>
      </w:r>
    </w:p>
    <w:p>
      <w:pPr>
        <w:pStyle w:val="ListBullet"/>
      </w:pPr>
      <w:r>
        <w:rPr>
          <w:sz w:val="20"/>
        </w:rPr>
        <w:t>SR-GNN — Wu et al., AAAI 2019.</w:t>
      </w:r>
    </w:p>
    <w:p>
      <w:pPr>
        <w:pStyle w:val="ListBullet"/>
      </w:pPr>
      <w:r>
        <w:rPr>
          <w:sz w:val="20"/>
        </w:rPr>
        <w:t>BERT-SMM — Optimizing Encoder-Only Transformers for SBR, 2024 (arXiv:2410.11150).</w:t>
      </w:r>
    </w:p>
    <w:p>
      <w:pPr>
        <w:pStyle w:val="ListBullet"/>
      </w:pPr>
      <w:r>
        <w:rPr>
          <w:sz w:val="20"/>
        </w:rPr>
        <w:t>ECIR 2024 — Performance Comparison of SBR Algorithms based on GNN (protocol last-day, chỉ tham khảo).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