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集团业务系统统一建设原则初稿"/>
    <w:p>
      <w:pPr>
        <w:pStyle w:val="Heading1"/>
      </w:pPr>
      <w:r>
        <w:rPr>
          <w:rFonts w:hint="eastAsia"/>
        </w:rPr>
        <w:t xml:space="preserve">集团业务系统统一建设原则（初稿）</w:t>
      </w:r>
    </w:p>
    <w:bookmarkStart w:id="9" w:name="一文档目的"/>
    <w:p>
      <w:pPr>
        <w:pStyle w:val="Heading2"/>
      </w:pPr>
      <w:r>
        <w:rPr>
          <w:rFonts w:hint="eastAsia"/>
        </w:rPr>
        <w:t xml:space="preserve">一、文档目的</w:t>
      </w:r>
    </w:p>
    <w:p>
      <w:pPr>
        <w:pStyle w:val="FirstParagraph"/>
      </w:pPr>
      <w:r>
        <w:rPr>
          <w:rFonts w:hint="eastAsia"/>
        </w:rPr>
        <w:t xml:space="preserve">本文档用于明确集团层面对各类业务系统建设、改造、集成与运维的统一要求，作为后续各业务系统需求编制、招标建设、系统集成、实施交付和验收管理的上位指导文件。</w:t>
      </w:r>
    </w:p>
    <w:p>
      <w:pPr>
        <w:pStyle w:val="BodyText"/>
      </w:pPr>
      <w:r>
        <w:rPr>
          <w:rFonts w:hint="eastAsia"/>
        </w:rPr>
        <w:t xml:space="preserve">本文档重点解决以下问题：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各业务系统建设应遵循哪些统一原则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哪些能力应按集团统一口径进行规划和落地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各系统在权限、数据、接口、运维、安全等方面应满足哪些基本要求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如何避免系统重复建设、口径不一、接口割裂和运维分散等问题</w:t>
      </w:r>
    </w:p>
    <w:bookmarkEnd w:id="9"/>
    <w:bookmarkStart w:id="10" w:name="二适用范围"/>
    <w:p>
      <w:pPr>
        <w:pStyle w:val="Heading2"/>
      </w:pPr>
      <w:r>
        <w:rPr>
          <w:rFonts w:hint="eastAsia"/>
        </w:rPr>
        <w:t xml:space="preserve">二、适用范围</w:t>
      </w:r>
    </w:p>
    <w:p>
      <w:pPr>
        <w:pStyle w:val="FirstParagraph"/>
      </w:pPr>
      <w:r>
        <w:rPr>
          <w:rFonts w:hint="eastAsia"/>
        </w:rPr>
        <w:t xml:space="preserve">本原则适用于集团及所属单位新建、改造、扩展、集成的各类业务系统，包括但不限于：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采购供应类系统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财务类系统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人力资源类系统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生产经营类系统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仓储物流类系统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办公协同类系统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数据分析与管理驾驶类系统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其他需要接入集团统一信息化体系的业务系统</w:t>
      </w:r>
    </w:p>
    <w:p>
      <w:pPr>
        <w:pStyle w:val="FirstParagraph"/>
      </w:pPr>
      <w:r>
        <w:rPr>
          <w:rFonts w:hint="eastAsia"/>
        </w:rPr>
        <w:t xml:space="preserve">对于已上线系统，原则上应在后续升级改造过程中逐步对齐本文件要求。</w:t>
      </w:r>
    </w:p>
    <w:bookmarkEnd w:id="10"/>
    <w:bookmarkStart w:id="11" w:name="三编制背景"/>
    <w:p>
      <w:pPr>
        <w:pStyle w:val="Heading2"/>
      </w:pPr>
      <w:r>
        <w:rPr>
          <w:rFonts w:hint="eastAsia"/>
        </w:rPr>
        <w:t xml:space="preserve">三、编制背景</w:t>
      </w:r>
    </w:p>
    <w:p>
      <w:pPr>
        <w:pStyle w:val="FirstParagraph"/>
      </w:pPr>
      <w:r>
        <w:rPr>
          <w:rFonts w:hint="eastAsia"/>
        </w:rPr>
        <w:t xml:space="preserve">当前集团正在推进信息化管理制度体系建设，目标是逐步形成统一规划、统一标准、统一集成、统一运维、统一安全的建设管理格局。</w:t>
      </w:r>
    </w:p>
    <w:p>
      <w:pPr>
        <w:pStyle w:val="BodyText"/>
      </w:pPr>
      <w:r>
        <w:rPr>
          <w:rFonts w:hint="eastAsia"/>
        </w:rPr>
        <w:t xml:space="preserve">在实际建设过程中，业务系统若缺少统一约束，容易出现以下问题：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账号体系分散，登录方式不统一，权限管理割裂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主数据来源不一致，同类数据在多个系统重复维护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接口标准不统一，集成成本高，后期维护困难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系统之间协同能力不足，形成信息孤岛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运维、日志、审计、监控机制不统一，风险难以及时发现和处置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新系统上线后难以纳入集团统一治理体系</w:t>
      </w:r>
    </w:p>
    <w:p>
      <w:pPr>
        <w:pStyle w:val="FirstParagraph"/>
      </w:pPr>
      <w:r>
        <w:rPr>
          <w:rFonts w:hint="eastAsia"/>
        </w:rPr>
        <w:t xml:space="preserve">因此，有必要先形成集团层面的统一建设原则，再在各系统项目中具体落实。</w:t>
      </w:r>
    </w:p>
    <w:bookmarkEnd w:id="11"/>
    <w:bookmarkStart w:id="20" w:name="四总体建设原则"/>
    <w:p>
      <w:pPr>
        <w:pStyle w:val="Heading2"/>
      </w:pPr>
      <w:r>
        <w:rPr>
          <w:rFonts w:hint="eastAsia"/>
        </w:rPr>
        <w:t xml:space="preserve">四、总体建设原则</w:t>
      </w:r>
    </w:p>
    <w:p>
      <w:pPr>
        <w:pStyle w:val="FirstParagraph"/>
      </w:pPr>
      <w:r>
        <w:rPr>
          <w:rFonts w:hint="eastAsia"/>
        </w:rPr>
        <w:t xml:space="preserve">集团业务系统建设原则上应遵循以下要求：</w:t>
      </w:r>
    </w:p>
    <w:bookmarkStart w:id="12" w:name="统一规划原则"/>
    <w:p>
      <w:pPr>
        <w:pStyle w:val="Heading3"/>
      </w:pPr>
      <w:r>
        <w:t xml:space="preserve">1. </w:t>
      </w:r>
      <w:r>
        <w:rPr>
          <w:rFonts w:hint="eastAsia"/>
        </w:rPr>
        <w:t xml:space="preserve">统一规划原则</w:t>
      </w:r>
    </w:p>
    <w:p>
      <w:pPr>
        <w:pStyle w:val="FirstParagraph"/>
      </w:pPr>
      <w:r>
        <w:rPr>
          <w:rFonts w:hint="eastAsia"/>
        </w:rPr>
        <w:t xml:space="preserve">各系统建设应纳入集团整体信息化规划统筹考虑，避免重复建设、分散建设和各自为政。</w:t>
      </w:r>
    </w:p>
    <w:bookmarkEnd w:id="12"/>
    <w:bookmarkStart w:id="13" w:name="统一标准原则"/>
    <w:p>
      <w:pPr>
        <w:pStyle w:val="Heading3"/>
      </w:pPr>
      <w:r>
        <w:t xml:space="preserve">2. </w:t>
      </w:r>
      <w:r>
        <w:rPr>
          <w:rFonts w:hint="eastAsia"/>
        </w:rPr>
        <w:t xml:space="preserve">统一标准原则</w:t>
      </w:r>
    </w:p>
    <w:p>
      <w:pPr>
        <w:pStyle w:val="FirstParagraph"/>
      </w:pPr>
      <w:r>
        <w:rPr>
          <w:rFonts w:hint="eastAsia"/>
        </w:rPr>
        <w:t xml:space="preserve">权限、主数据、接口、运维、安全、日志等关键要素应采用集团统一标准，减少口径差异。</w:t>
      </w:r>
    </w:p>
    <w:bookmarkEnd w:id="13"/>
    <w:bookmarkStart w:id="14" w:name="权威来源原则"/>
    <w:p>
      <w:pPr>
        <w:pStyle w:val="Heading3"/>
      </w:pPr>
      <w:r>
        <w:t xml:space="preserve">3. </w:t>
      </w:r>
      <w:r>
        <w:rPr>
          <w:rFonts w:hint="eastAsia"/>
        </w:rPr>
        <w:t xml:space="preserve">权威来源原则</w:t>
      </w:r>
    </w:p>
    <w:p>
      <w:pPr>
        <w:pStyle w:val="FirstParagraph"/>
      </w:pPr>
      <w:r>
        <w:rPr>
          <w:rFonts w:hint="eastAsia"/>
        </w:rPr>
        <w:t xml:space="preserve">同一类核心数据应明确唯一权威来源系统，其他系统应以引用、同步、映射为主，不宜各自重复维护。</w:t>
      </w:r>
    </w:p>
    <w:bookmarkEnd w:id="14"/>
    <w:bookmarkStart w:id="15" w:name="集成协同原则"/>
    <w:p>
      <w:pPr>
        <w:pStyle w:val="Heading3"/>
      </w:pPr>
      <w:r>
        <w:t xml:space="preserve">4. </w:t>
      </w:r>
      <w:r>
        <w:rPr>
          <w:rFonts w:hint="eastAsia"/>
        </w:rPr>
        <w:t xml:space="preserve">集成协同原则</w:t>
      </w:r>
    </w:p>
    <w:p>
      <w:pPr>
        <w:pStyle w:val="FirstParagraph"/>
      </w:pPr>
      <w:r>
        <w:rPr>
          <w:rFonts w:hint="eastAsia"/>
        </w:rPr>
        <w:t xml:space="preserve">各业务系统建设应优先考虑跨系统协同和数据贯通能力，不应形成新的信息孤岛。</w:t>
      </w:r>
    </w:p>
    <w:bookmarkEnd w:id="15"/>
    <w:bookmarkStart w:id="16" w:name="安全可控原则"/>
    <w:p>
      <w:pPr>
        <w:pStyle w:val="Heading3"/>
      </w:pPr>
      <w:r>
        <w:t xml:space="preserve">5. </w:t>
      </w:r>
      <w:r>
        <w:rPr>
          <w:rFonts w:hint="eastAsia"/>
        </w:rPr>
        <w:t xml:space="preserve">安全可控原则</w:t>
      </w:r>
    </w:p>
    <w:p>
      <w:pPr>
        <w:pStyle w:val="FirstParagraph"/>
      </w:pPr>
      <w:r>
        <w:rPr>
          <w:rFonts w:hint="eastAsia"/>
        </w:rPr>
        <w:t xml:space="preserve">系统建设、部署、接口和运维应满足集团安全管理要求，确保权限受控、数据可控、操作可追溯。</w:t>
      </w:r>
    </w:p>
    <w:bookmarkEnd w:id="16"/>
    <w:bookmarkStart w:id="17" w:name="信创适配原则"/>
    <w:p>
      <w:pPr>
        <w:pStyle w:val="Heading3"/>
      </w:pPr>
      <w:r>
        <w:t xml:space="preserve">6. </w:t>
      </w:r>
      <w:r>
        <w:rPr>
          <w:rFonts w:hint="eastAsia"/>
        </w:rPr>
        <w:t xml:space="preserve">信创适配原则</w:t>
      </w:r>
    </w:p>
    <w:p>
      <w:pPr>
        <w:pStyle w:val="FirstParagraph"/>
      </w:pPr>
      <w:r>
        <w:rPr>
          <w:rFonts w:hint="eastAsia"/>
        </w:rPr>
        <w:t xml:space="preserve">各系统应结合集团国产化、信创建设要求进行规划和建设，满足后续统一适配和升级需要。</w:t>
      </w:r>
    </w:p>
    <w:bookmarkEnd w:id="17"/>
    <w:bookmarkStart w:id="18" w:name="独立部署低耦合原则"/>
    <w:p>
      <w:pPr>
        <w:pStyle w:val="Heading3"/>
      </w:pPr>
      <w:r>
        <w:t xml:space="preserve">7. </w:t>
      </w:r>
      <w:r>
        <w:rPr>
          <w:rFonts w:hint="eastAsia"/>
        </w:rPr>
        <w:t xml:space="preserve">独立部署、低耦合原则</w:t>
      </w:r>
    </w:p>
    <w:p>
      <w:pPr>
        <w:pStyle w:val="FirstParagraph"/>
      </w:pPr>
      <w:r>
        <w:rPr>
          <w:rFonts w:hint="eastAsia"/>
        </w:rPr>
        <w:t xml:space="preserve">集团统一平台（Nova</w:t>
      </w:r>
      <w:r>
        <w:t xml:space="preserve"> </w:t>
      </w:r>
      <w:r>
        <w:rPr>
          <w:rFonts w:hint="eastAsia"/>
        </w:rPr>
        <w:t xml:space="preserve">Platform）作为上位系统，负责提供组织、人员、权限、SSO</w:t>
      </w:r>
      <w:r>
        <w:t xml:space="preserve"> </w:t>
      </w:r>
      <w:r>
        <w:rPr>
          <w:rFonts w:hint="eastAsia"/>
        </w:rPr>
        <w:t xml:space="preserve">等公共服务。各业务系统应独立部署数据库，通过平台</w:t>
      </w:r>
      <w:r>
        <w:t xml:space="preserve"> API </w:t>
      </w:r>
      <w:r>
        <w:rPr>
          <w:rFonts w:hint="eastAsia"/>
        </w:rPr>
        <w:t xml:space="preserve">获取公共数据和服务，不与平台共用数据库实例。平台与业务系统之间保持低耦合，便于各系统独立交付、独立运维和独立升级。</w:t>
      </w:r>
    </w:p>
    <w:bookmarkEnd w:id="18"/>
    <w:bookmarkStart w:id="19" w:name="适度前瞻原则"/>
    <w:p>
      <w:pPr>
        <w:pStyle w:val="Heading3"/>
      </w:pPr>
      <w:r>
        <w:t xml:space="preserve">8. </w:t>
      </w:r>
      <w:r>
        <w:rPr>
          <w:rFonts w:hint="eastAsia"/>
        </w:rPr>
        <w:t xml:space="preserve">适度前瞻原则</w:t>
      </w:r>
    </w:p>
    <w:p>
      <w:pPr>
        <w:pStyle w:val="FirstParagraph"/>
      </w:pPr>
      <w:r>
        <w:rPr>
          <w:rFonts w:hint="eastAsia"/>
        </w:rPr>
        <w:t xml:space="preserve">在满足当前业务需求的同时，应对后续统一门户、统一</w:t>
      </w:r>
      <w:r>
        <w:t xml:space="preserve"> AI </w:t>
      </w:r>
      <w:r>
        <w:rPr>
          <w:rFonts w:hint="eastAsia"/>
        </w:rPr>
        <w:t xml:space="preserve">助理、统一数据治理等能力预留接口和扩展空间。</w:t>
      </w:r>
    </w:p>
    <w:bookmarkEnd w:id="19"/>
    <w:bookmarkEnd w:id="20"/>
    <w:bookmarkStart w:id="25" w:name="五统一权限管理要求"/>
    <w:p>
      <w:pPr>
        <w:pStyle w:val="Heading2"/>
      </w:pPr>
      <w:r>
        <w:rPr>
          <w:rFonts w:hint="eastAsia"/>
        </w:rPr>
        <w:t xml:space="preserve">五、统一权限管理要求</w:t>
      </w:r>
    </w:p>
    <w:p>
      <w:pPr>
        <w:pStyle w:val="FirstParagraph"/>
      </w:pPr>
      <w:r>
        <w:rPr>
          <w:rFonts w:hint="eastAsia"/>
        </w:rPr>
        <w:t xml:space="preserve">权限管理是集团统一治理的基础。各业务系统原则上应纳入统一身份与访问管理体系。</w:t>
      </w:r>
    </w:p>
    <w:bookmarkStart w:id="21" w:name="统一登录要求"/>
    <w:p>
      <w:pPr>
        <w:pStyle w:val="Heading3"/>
      </w:pPr>
      <w:r>
        <w:t xml:space="preserve">1. </w:t>
      </w:r>
      <w:r>
        <w:rPr>
          <w:rFonts w:hint="eastAsia"/>
        </w:rPr>
        <w:t xml:space="preserve">统一登录要求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各业务系统原则上应支持集团统一登录机制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最低要求是实现</w:t>
      </w:r>
      <w:r>
        <w:t xml:space="preserve"> </w:t>
      </w:r>
      <w:r>
        <w:rPr>
          <w:rFonts w:hint="eastAsia"/>
          <w:b/>
          <w:bCs/>
        </w:rPr>
        <w:t xml:space="preserve">SSO（单点登录）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不宜长期保留完全独立、彼此割裂的登录体系</w:t>
      </w:r>
    </w:p>
    <w:bookmarkEnd w:id="21"/>
    <w:bookmarkStart w:id="22" w:name="统一身份来源要求"/>
    <w:p>
      <w:pPr>
        <w:pStyle w:val="Heading3"/>
      </w:pPr>
      <w:r>
        <w:t xml:space="preserve">2. </w:t>
      </w:r>
      <w:r>
        <w:rPr>
          <w:rFonts w:hint="eastAsia"/>
        </w:rPr>
        <w:t xml:space="preserve">统一身份来源要求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用户基础身份信息应与集团统一身份源或权威人员数据源保持一致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组织架构、人员信息原则上来源于人资系统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对人员入职、离职、调岗、调部门等变化，应建立同步或联动机制</w:t>
      </w:r>
    </w:p>
    <w:bookmarkEnd w:id="22"/>
    <w:bookmarkStart w:id="23" w:name="权限模型要求"/>
    <w:p>
      <w:pPr>
        <w:pStyle w:val="Heading3"/>
      </w:pPr>
      <w:r>
        <w:t xml:space="preserve">3. </w:t>
      </w:r>
      <w:r>
        <w:rPr>
          <w:rFonts w:hint="eastAsia"/>
        </w:rPr>
        <w:t xml:space="preserve">权限模型要求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集团、所属单位、部门、岗位、角色、数据范围等权限维度应清晰定义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系统可结合业务特点维护本系统的业务角色和业务权限，但不应脱离统一身份体系独立运行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高敏感操作应支持审批、确认、日志留痕等控制机制</w:t>
      </w:r>
    </w:p>
    <w:bookmarkEnd w:id="23"/>
    <w:bookmarkStart w:id="24" w:name="权限变更要求"/>
    <w:p>
      <w:pPr>
        <w:pStyle w:val="Heading3"/>
      </w:pPr>
      <w:r>
        <w:t xml:space="preserve">4. </w:t>
      </w:r>
      <w:r>
        <w:rPr>
          <w:rFonts w:hint="eastAsia"/>
        </w:rPr>
        <w:t xml:space="preserve">权限变更要求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人员岗位调整后，系统权限应能及时更新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不得长期依赖手工逐个系统修改权限的方式维持运行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对离岗、离职、停用人员应具备及时禁用和收回权限机制</w:t>
      </w:r>
    </w:p>
    <w:bookmarkEnd w:id="24"/>
    <w:bookmarkEnd w:id="25"/>
    <w:bookmarkStart w:id="29" w:name="六统一数据标准与权威数据源要求"/>
    <w:p>
      <w:pPr>
        <w:pStyle w:val="Heading2"/>
      </w:pPr>
      <w:r>
        <w:rPr>
          <w:rFonts w:hint="eastAsia"/>
        </w:rPr>
        <w:t xml:space="preserve">六、统一数据标准与权威数据源要求</w:t>
      </w:r>
    </w:p>
    <w:p>
      <w:pPr>
        <w:pStyle w:val="FirstParagraph"/>
      </w:pPr>
      <w:r>
        <w:rPr>
          <w:rFonts w:hint="eastAsia"/>
        </w:rPr>
        <w:t xml:space="preserve">统一数据标准的核心，是明确“谁是权威数据源”。各业务系统涉及的数据，应来源于对应权威系统。</w:t>
      </w:r>
    </w:p>
    <w:bookmarkStart w:id="26" w:name="基本原则"/>
    <w:p>
      <w:pPr>
        <w:pStyle w:val="Heading3"/>
      </w:pPr>
      <w:r>
        <w:t xml:space="preserve">1. </w:t>
      </w:r>
      <w:r>
        <w:rPr>
          <w:rFonts w:hint="eastAsia"/>
        </w:rPr>
        <w:t xml:space="preserve">基本原则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同一类核心主数据应明确唯一权威系统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其他业务系统应优先通过引用、同步、映射方式使用权威数据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原则上不允许多个系统各自维护同一类核心主数据并长期并存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如暂时尚未建成权威系统，应明确临时归口系统和后续迁移安排</w:t>
      </w:r>
    </w:p>
    <w:bookmarkEnd w:id="26"/>
    <w:bookmarkStart w:id="27" w:name="当前明确的权威来源示例"/>
    <w:p>
      <w:pPr>
        <w:pStyle w:val="Heading3"/>
      </w:pPr>
      <w:r>
        <w:t xml:space="preserve">2. </w:t>
      </w:r>
      <w:r>
        <w:rPr>
          <w:rFonts w:hint="eastAsia"/>
        </w:rPr>
        <w:t xml:space="preserve">当前明确的权威来源示例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2132"/>
        <w:gridCol w:w="1523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权威来源系统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其他业务系统要求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人资系统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原则上引用或同步，不重复长期维护组织主档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人资系统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原则上引用或同步，不重复长期维护人员主档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记账科目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财务相关业务系统应以财务系统口径为准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涉及物料的业务系统应引用或映射供应系统编码标准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过渡说明：</w:t>
      </w:r>
      <w:r>
        <w:t xml:space="preserve"> </w:t>
      </w:r>
      <w:r>
        <w:rPr>
          <w:rFonts w:hint="eastAsia"/>
        </w:rPr>
        <w:t xml:space="preserve">物资供应管理系统当前尚在建设阶段，在其正式上线前，物料编码权威来源暂由集团物资部门线下台账或现有系统承担。系统上线后，应正式确立物资供应管理系统为物料编码权威来源，其他系统通过映射或同步方式引用。</w:t>
      </w:r>
    </w:p>
    <w:bookmarkEnd w:id="27"/>
    <w:bookmarkStart w:id="28" w:name="数据管理要求"/>
    <w:p>
      <w:pPr>
        <w:pStyle w:val="Heading3"/>
      </w:pPr>
      <w:r>
        <w:t xml:space="preserve">3. </w:t>
      </w:r>
      <w:r>
        <w:rPr>
          <w:rFonts w:hint="eastAsia"/>
        </w:rPr>
        <w:t xml:space="preserve">数据管理要求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各项目在立项、需求、招标、设计阶段，应明确本系统涉及的主数据有哪些、分别来源于哪个权威系统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对需要同步的数据，应明确同步方式、更新频率、责任边界和异常处理机制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对存在映射关系的数据，应建立稳定映射规则和台账管理机制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对关键主数据变更，应具备日志记录和可追溯能力</w:t>
      </w:r>
    </w:p>
    <w:bookmarkEnd w:id="28"/>
    <w:bookmarkEnd w:id="29"/>
    <w:bookmarkStart w:id="34" w:name="七统一接口规范要求"/>
    <w:p>
      <w:pPr>
        <w:pStyle w:val="Heading2"/>
      </w:pPr>
      <w:r>
        <w:rPr>
          <w:rFonts w:hint="eastAsia"/>
        </w:rPr>
        <w:t xml:space="preserve">七、统一接口规范要求</w:t>
      </w:r>
    </w:p>
    <w:p>
      <w:pPr>
        <w:pStyle w:val="FirstParagraph"/>
      </w:pPr>
      <w:r>
        <w:rPr>
          <w:rFonts w:hint="eastAsia"/>
        </w:rPr>
        <w:t xml:space="preserve">各业务系统之间原则上应采用标准化</w:t>
      </w:r>
      <w:r>
        <w:t xml:space="preserve"> API </w:t>
      </w:r>
      <w:r>
        <w:rPr>
          <w:rFonts w:hint="eastAsia"/>
        </w:rPr>
        <w:t xml:space="preserve">方式通信，接口报文统一使用</w:t>
      </w:r>
      <w:r>
        <w:t xml:space="preserve"> JSON </w:t>
      </w:r>
      <w:r>
        <w:rPr>
          <w:rFonts w:hint="eastAsia"/>
        </w:rPr>
        <w:t xml:space="preserve">格式。</w:t>
      </w:r>
    </w:p>
    <w:bookmarkStart w:id="30" w:name="通信方式要求"/>
    <w:p>
      <w:pPr>
        <w:pStyle w:val="Heading3"/>
      </w:pPr>
      <w:r>
        <w:t xml:space="preserve">1. </w:t>
      </w:r>
      <w:r>
        <w:rPr>
          <w:rFonts w:hint="eastAsia"/>
        </w:rPr>
        <w:t xml:space="preserve">通信方式要求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系统间集成原则上优先采用</w:t>
      </w:r>
      <w:r>
        <w:t xml:space="preserve"> API </w:t>
      </w:r>
      <w:r>
        <w:rPr>
          <w:rFonts w:hint="eastAsia"/>
        </w:rPr>
        <w:t xml:space="preserve">接口方式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接口报文原则上统一使用</w:t>
      </w:r>
      <w:r>
        <w:t xml:space="preserve"> JSON </w:t>
      </w:r>
      <w:r>
        <w:rPr>
          <w:rFonts w:hint="eastAsia"/>
        </w:rPr>
        <w:t xml:space="preserve">格式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接口调用建议基于标准</w:t>
      </w:r>
      <w:r>
        <w:t xml:space="preserve"> HTTP/HTTPS </w:t>
      </w:r>
      <w:r>
        <w:rPr>
          <w:rFonts w:hint="eastAsia"/>
        </w:rPr>
        <w:t xml:space="preserve">协议组织</w:t>
      </w:r>
    </w:p>
    <w:bookmarkEnd w:id="30"/>
    <w:bookmarkStart w:id="31" w:name="接口标准要求"/>
    <w:p>
      <w:pPr>
        <w:pStyle w:val="Heading3"/>
      </w:pPr>
      <w:r>
        <w:t xml:space="preserve">2. </w:t>
      </w:r>
      <w:r>
        <w:rPr>
          <w:rFonts w:hint="eastAsia"/>
        </w:rPr>
        <w:t xml:space="preserve">接口标准要求</w:t>
      </w:r>
    </w:p>
    <w:p>
      <w:pPr>
        <w:pStyle w:val="FirstParagraph"/>
      </w:pPr>
      <w:r>
        <w:rPr>
          <w:rFonts w:hint="eastAsia"/>
        </w:rPr>
        <w:t xml:space="preserve">后续各系统建设应围绕以下内容形成统一规范：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接口地址命名规则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请求方式与报文结构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字符编码规则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时间、状态、枚举等基础字段表达规则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返回码和错误码规范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接口版本管理规则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幂等控制要求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超时、重试与异常处理机制</w:t>
      </w:r>
    </w:p>
    <w:bookmarkEnd w:id="31"/>
    <w:bookmarkStart w:id="32" w:name="安全与审计要求"/>
    <w:p>
      <w:pPr>
        <w:pStyle w:val="Heading3"/>
      </w:pPr>
      <w:r>
        <w:t xml:space="preserve">3. </w:t>
      </w:r>
      <w:r>
        <w:rPr>
          <w:rFonts w:hint="eastAsia"/>
        </w:rPr>
        <w:t xml:space="preserve">安全与审计要求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接口调用应具备统一或可兼容的鉴权机制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应记录接口调用日志、错误日志和关键业务日志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对关键写操作接口，应具备可追溯能力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接口异常应支持查询、告警和问题闭环处理</w:t>
      </w:r>
    </w:p>
    <w:bookmarkEnd w:id="32"/>
    <w:bookmarkStart w:id="33" w:name="文档与测试要求"/>
    <w:p>
      <w:pPr>
        <w:pStyle w:val="Heading3"/>
      </w:pPr>
      <w:r>
        <w:t xml:space="preserve">4. </w:t>
      </w:r>
      <w:r>
        <w:rPr>
          <w:rFonts w:hint="eastAsia"/>
        </w:rPr>
        <w:t xml:space="preserve">文档与测试要求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各系统对外提供接口时，应提供完整接口文档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应明确字段说明、示例报文、返回说明、错误码说明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原则上应提供联调环境、测试数据或测试方案，以支撑系统集成实施</w:t>
      </w:r>
    </w:p>
    <w:bookmarkEnd w:id="33"/>
    <w:bookmarkEnd w:id="34"/>
    <w:bookmarkStart w:id="44" w:name="八统一-ai-入口与智能能力接入要求"/>
    <w:p>
      <w:pPr>
        <w:pStyle w:val="Heading2"/>
      </w:pPr>
      <w:r>
        <w:rPr>
          <w:rFonts w:hint="eastAsia"/>
        </w:rPr>
        <w:t xml:space="preserve">八、统一</w:t>
      </w:r>
      <w:r>
        <w:t xml:space="preserve"> AI </w:t>
      </w:r>
      <w:r>
        <w:rPr>
          <w:rFonts w:hint="eastAsia"/>
        </w:rPr>
        <w:t xml:space="preserve">入口与智能能力接入要求</w:t>
      </w:r>
    </w:p>
    <w:p>
      <w:pPr>
        <w:pStyle w:val="FirstParagraph"/>
      </w:pPr>
      <w:r>
        <w:rPr>
          <w:rFonts w:hint="eastAsia"/>
        </w:rPr>
        <w:t xml:space="preserve">结合现有</w:t>
      </w:r>
      <w:r>
        <w:t xml:space="preserve"> AI </w:t>
      </w:r>
      <w:r>
        <w:rPr>
          <w:rFonts w:hint="eastAsia"/>
        </w:rPr>
        <w:t xml:space="preserve">规范文档，可将适用于各业务系统的通用原则概括如下。集团后续各类业务系统如涉及智能问答、智能查询、智能分析、智能辅助办理等</w:t>
      </w:r>
      <w:r>
        <w:t xml:space="preserve"> AI </w:t>
      </w:r>
      <w:r>
        <w:rPr>
          <w:rFonts w:hint="eastAsia"/>
        </w:rPr>
        <w:t xml:space="preserve">能力建设，原则上均应遵循本章要求。</w:t>
      </w:r>
    </w:p>
    <w:bookmarkStart w:id="35" w:name="统一入口原则"/>
    <w:p>
      <w:pPr>
        <w:pStyle w:val="Heading3"/>
      </w:pPr>
      <w:r>
        <w:t xml:space="preserve">1. </w:t>
      </w:r>
      <w:r>
        <w:rPr>
          <w:rFonts w:hint="eastAsia"/>
        </w:rPr>
        <w:t xml:space="preserve">统一入口原则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各业务系统如建设</w:t>
      </w:r>
      <w:r>
        <w:t xml:space="preserve"> AI </w:t>
      </w:r>
      <w:r>
        <w:rPr>
          <w:rFonts w:hint="eastAsia"/>
        </w:rPr>
        <w:t xml:space="preserve">能力，原则上应纳入集团统一</w:t>
      </w:r>
      <w:r>
        <w:t xml:space="preserve"> AI </w:t>
      </w:r>
      <w:r>
        <w:rPr>
          <w:rFonts w:hint="eastAsia"/>
        </w:rPr>
        <w:t xml:space="preserve">入口或统一</w:t>
      </w:r>
      <w:r>
        <w:t xml:space="preserve"> AI </w:t>
      </w:r>
      <w:r>
        <w:rPr>
          <w:rFonts w:hint="eastAsia"/>
        </w:rPr>
        <w:t xml:space="preserve">助理平台管理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不宜各系统分别建设相互割裂的独立</w:t>
      </w:r>
      <w:r>
        <w:t xml:space="preserve"> AI </w:t>
      </w:r>
      <w:r>
        <w:rPr>
          <w:rFonts w:hint="eastAsia"/>
        </w:rPr>
        <w:t xml:space="preserve">门户、独立智能问答入口或独立智能应用体系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用户原则上应通过集团统一</w:t>
      </w:r>
      <w:r>
        <w:t xml:space="preserve"> AI </w:t>
      </w:r>
      <w:r>
        <w:rPr>
          <w:rFonts w:hint="eastAsia"/>
        </w:rPr>
        <w:t xml:space="preserve">入口访问各领域智能能力</w:t>
      </w:r>
    </w:p>
    <w:bookmarkEnd w:id="35"/>
    <w:bookmarkStart w:id="36" w:name="能力开放原则"/>
    <w:p>
      <w:pPr>
        <w:pStyle w:val="Heading3"/>
      </w:pPr>
      <w:r>
        <w:t xml:space="preserve">2. </w:t>
      </w:r>
      <w:r>
        <w:rPr>
          <w:rFonts w:hint="eastAsia"/>
        </w:rPr>
        <w:t xml:space="preserve">能力开放原则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各业务系统应将可供</w:t>
      </w:r>
      <w:r>
        <w:t xml:space="preserve"> AI </w:t>
      </w:r>
      <w:r>
        <w:rPr>
          <w:rFonts w:hint="eastAsia"/>
        </w:rPr>
        <w:t xml:space="preserve">调用的业务能力，以标准化接口方式对统一</w:t>
      </w:r>
      <w:r>
        <w:t xml:space="preserve"> AI </w:t>
      </w:r>
      <w:r>
        <w:rPr>
          <w:rFonts w:hint="eastAsia"/>
        </w:rPr>
        <w:t xml:space="preserve">平台开放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开放能力应尽量以“可调用服务”方式组织，便于统一</w:t>
      </w:r>
      <w:r>
        <w:t xml:space="preserve"> AI </w:t>
      </w:r>
      <w:r>
        <w:rPr>
          <w:rFonts w:hint="eastAsia"/>
        </w:rPr>
        <w:t xml:space="preserve">平台封装为</w:t>
      </w:r>
      <w:r>
        <w:t xml:space="preserve"> </w:t>
      </w:r>
      <w:r>
        <w:rPr>
          <w:rFonts w:hint="eastAsia"/>
        </w:rPr>
        <w:t xml:space="preserve">Tool、插件或标准能力组件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对外开放的</w:t>
      </w:r>
      <w:r>
        <w:t xml:space="preserve"> AI </w:t>
      </w:r>
      <w:r>
        <w:rPr>
          <w:rFonts w:hint="eastAsia"/>
        </w:rPr>
        <w:t xml:space="preserve">能力，应优先围绕查询、分析、预警、辅助办理等场景逐步建设</w:t>
      </w:r>
    </w:p>
    <w:bookmarkEnd w:id="36"/>
    <w:bookmarkStart w:id="37" w:name="结构化接口原则"/>
    <w:p>
      <w:pPr>
        <w:pStyle w:val="Heading3"/>
      </w:pPr>
      <w:r>
        <w:t xml:space="preserve">3. </w:t>
      </w:r>
      <w:r>
        <w:rPr>
          <w:rFonts w:hint="eastAsia"/>
        </w:rPr>
        <w:t xml:space="preserve">结构化接口原则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面向统一</w:t>
      </w:r>
      <w:r>
        <w:t xml:space="preserve"> AI </w:t>
      </w:r>
      <w:r>
        <w:rPr>
          <w:rFonts w:hint="eastAsia"/>
        </w:rPr>
        <w:t xml:space="preserve">平台开放的能力接口，应支持结构化参数输入和结构化结果输出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返回结果应便于统一</w:t>
      </w:r>
      <w:r>
        <w:t xml:space="preserve"> AI </w:t>
      </w:r>
      <w:r>
        <w:rPr>
          <w:rFonts w:hint="eastAsia"/>
        </w:rPr>
        <w:t xml:space="preserve">平台进行摘要生成、多轮追问、结果解释和场景编排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具体接口实现仍应遵循集团统一接口规范，即原则上采用</w:t>
      </w:r>
      <w:r>
        <w:t xml:space="preserve"> API </w:t>
      </w:r>
      <w:r>
        <w:rPr>
          <w:rFonts w:hint="eastAsia"/>
        </w:rPr>
        <w:t xml:space="preserve">方式通信、报文使用</w:t>
      </w:r>
      <w:r>
        <w:t xml:space="preserve"> JSON </w:t>
      </w:r>
      <w:r>
        <w:rPr>
          <w:rFonts w:hint="eastAsia"/>
        </w:rPr>
        <w:t xml:space="preserve">格式</w:t>
      </w:r>
    </w:p>
    <w:bookmarkEnd w:id="37"/>
    <w:bookmarkStart w:id="38" w:name="权限一致原则"/>
    <w:p>
      <w:pPr>
        <w:pStyle w:val="Heading3"/>
      </w:pPr>
      <w:r>
        <w:t xml:space="preserve">4. </w:t>
      </w:r>
      <w:r>
        <w:rPr>
          <w:rFonts w:hint="eastAsia"/>
        </w:rPr>
        <w:t xml:space="preserve">权限一致原则</w:t>
      </w:r>
    </w:p>
    <w:p>
      <w:pPr>
        <w:pStyle w:val="Compact"/>
        <w:numPr>
          <w:ilvl w:val="0"/>
          <w:numId w:val="1017"/>
        </w:numPr>
      </w:pPr>
      <w:r>
        <w:t xml:space="preserve">AI </w:t>
      </w:r>
      <w:r>
        <w:rPr>
          <w:rFonts w:hint="eastAsia"/>
        </w:rPr>
        <w:t xml:space="preserve">查询和</w:t>
      </w:r>
      <w:r>
        <w:t xml:space="preserve"> AI </w:t>
      </w:r>
      <w:r>
        <w:rPr>
          <w:rFonts w:hint="eastAsia"/>
        </w:rPr>
        <w:t xml:space="preserve">辅助办理结果必须与原业务系统现有权限体系保持一致</w:t>
      </w:r>
    </w:p>
    <w:p>
      <w:pPr>
        <w:pStyle w:val="Compact"/>
        <w:numPr>
          <w:ilvl w:val="0"/>
          <w:numId w:val="1017"/>
        </w:numPr>
      </w:pPr>
      <w:r>
        <w:t xml:space="preserve">AI </w:t>
      </w:r>
      <w:r>
        <w:rPr>
          <w:rFonts w:hint="eastAsia"/>
        </w:rPr>
        <w:t xml:space="preserve">平台不得突破原系统既有的用户、角色、组织、部门、仓库、项目等数据权限边界</w:t>
      </w:r>
    </w:p>
    <w:p>
      <w:pPr>
        <w:pStyle w:val="Compact"/>
        <w:numPr>
          <w:ilvl w:val="0"/>
          <w:numId w:val="1017"/>
        </w:numPr>
      </w:pPr>
      <w:r>
        <w:t xml:space="preserve">AI </w:t>
      </w:r>
      <w:r>
        <w:rPr>
          <w:rFonts w:hint="eastAsia"/>
        </w:rPr>
        <w:t xml:space="preserve">场景下的能力开放，应建立与业务系统一致的权限校验机制</w:t>
      </w:r>
    </w:p>
    <w:bookmarkEnd w:id="38"/>
    <w:bookmarkStart w:id="39" w:name="数据受控原则"/>
    <w:p>
      <w:pPr>
        <w:pStyle w:val="Heading3"/>
      </w:pPr>
      <w:r>
        <w:t xml:space="preserve">5. </w:t>
      </w:r>
      <w:r>
        <w:rPr>
          <w:rFonts w:hint="eastAsia"/>
        </w:rPr>
        <w:t xml:space="preserve">数据受控原则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统一</w:t>
      </w:r>
      <w:r>
        <w:t xml:space="preserve"> AI </w:t>
      </w:r>
      <w:r>
        <w:rPr>
          <w:rFonts w:hint="eastAsia"/>
        </w:rPr>
        <w:t xml:space="preserve">平台不得绕过业务系统直接访问底层数据库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所有业务数据原则上应通过受控业务接口获取，不应形成脱离业务控制逻辑的旁路访问方式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对</w:t>
      </w:r>
      <w:r>
        <w:t xml:space="preserve"> AI </w:t>
      </w:r>
      <w:r>
        <w:rPr>
          <w:rFonts w:hint="eastAsia"/>
        </w:rPr>
        <w:t xml:space="preserve">可访问的数据范围、业务范围和操作边界，应由业务系统按权限和规则明确控制</w:t>
      </w:r>
    </w:p>
    <w:bookmarkEnd w:id="39"/>
    <w:bookmarkStart w:id="40" w:name="高风险操作受控原则"/>
    <w:p>
      <w:pPr>
        <w:pStyle w:val="Heading3"/>
      </w:pPr>
      <w:r>
        <w:t xml:space="preserve">6. </w:t>
      </w:r>
      <w:r>
        <w:rPr>
          <w:rFonts w:hint="eastAsia"/>
        </w:rPr>
        <w:t xml:space="preserve">高风险操作受控原则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涉及写操作、审批、数据变更、执行类指令等高风险场景时，应建立确认、审批、审计或二次校验机制</w:t>
      </w:r>
    </w:p>
    <w:p>
      <w:pPr>
        <w:pStyle w:val="Compact"/>
        <w:numPr>
          <w:ilvl w:val="0"/>
          <w:numId w:val="1019"/>
        </w:numPr>
      </w:pPr>
      <w:r>
        <w:t xml:space="preserve">AI </w:t>
      </w:r>
      <w:r>
        <w:rPr>
          <w:rFonts w:hint="eastAsia"/>
        </w:rPr>
        <w:t xml:space="preserve">助理应以“辅助”为主，不应在缺乏授权与控制的情况下直接执行高风险业务动作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对重要操作过程和执行结果，应具备日志留痕和问题追踪能力</w:t>
      </w:r>
    </w:p>
    <w:bookmarkEnd w:id="40"/>
    <w:bookmarkStart w:id="41" w:name="统一运维与审计原则"/>
    <w:p>
      <w:pPr>
        <w:pStyle w:val="Heading3"/>
      </w:pPr>
      <w:r>
        <w:t xml:space="preserve">7. </w:t>
      </w:r>
      <w:r>
        <w:rPr>
          <w:rFonts w:hint="eastAsia"/>
        </w:rPr>
        <w:t xml:space="preserve">统一运维与审计原则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业务系统接入统一</w:t>
      </w:r>
      <w:r>
        <w:t xml:space="preserve"> AI </w:t>
      </w:r>
      <w:r>
        <w:rPr>
          <w:rFonts w:hint="eastAsia"/>
        </w:rPr>
        <w:t xml:space="preserve">入口后的相关能力，应纳入集团统一日志、统一审计、统一监控和统一运维体系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应记录接口调用日志、权限校验日志、异常日志以及必要的业务追踪信息</w:t>
      </w:r>
    </w:p>
    <w:p>
      <w:pPr>
        <w:pStyle w:val="Compact"/>
        <w:numPr>
          <w:ilvl w:val="0"/>
          <w:numId w:val="1020"/>
        </w:numPr>
      </w:pPr>
      <w:r>
        <w:t xml:space="preserve">AI </w:t>
      </w:r>
      <w:r>
        <w:rPr>
          <w:rFonts w:hint="eastAsia"/>
        </w:rPr>
        <w:t xml:space="preserve">相关问题应可查询、可定位、可追责、可闭环处理</w:t>
      </w:r>
    </w:p>
    <w:bookmarkEnd w:id="41"/>
    <w:bookmarkStart w:id="42" w:name="文档与联调支撑原则"/>
    <w:p>
      <w:pPr>
        <w:pStyle w:val="Heading3"/>
      </w:pPr>
      <w:r>
        <w:t xml:space="preserve">8. </w:t>
      </w:r>
      <w:r>
        <w:rPr>
          <w:rFonts w:hint="eastAsia"/>
        </w:rPr>
        <w:t xml:space="preserve">文档与联调支撑原则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提供</w:t>
      </w:r>
      <w:r>
        <w:t xml:space="preserve"> AI </w:t>
      </w:r>
      <w:r>
        <w:rPr>
          <w:rFonts w:hint="eastAsia"/>
        </w:rPr>
        <w:t xml:space="preserve">接入能力的业务系统，应提供完整的接口文档、字段说明、示例报文、错误码说明和联调支持资料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原则上应提供测试环境、测试账号或测试方案，支撑统一</w:t>
      </w:r>
      <w:r>
        <w:t xml:space="preserve"> AI </w:t>
      </w:r>
      <w:r>
        <w:rPr>
          <w:rFonts w:hint="eastAsia"/>
        </w:rPr>
        <w:t xml:space="preserve">平台完成接入联调与验证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对具体业务系统而言，可根据项目需要进一步形成专项</w:t>
      </w:r>
      <w:r>
        <w:t xml:space="preserve"> AI </w:t>
      </w:r>
      <w:r>
        <w:rPr>
          <w:rFonts w:hint="eastAsia"/>
        </w:rPr>
        <w:t xml:space="preserve">接入要求、Tool</w:t>
      </w:r>
      <w:r>
        <w:t xml:space="preserve"> </w:t>
      </w:r>
      <w:r>
        <w:rPr>
          <w:rFonts w:hint="eastAsia"/>
        </w:rPr>
        <w:t xml:space="preserve">清单、测试场景和验收条款</w:t>
      </w:r>
    </w:p>
    <w:bookmarkEnd w:id="42"/>
    <w:bookmarkStart w:id="43" w:name="适用方式说明"/>
    <w:p>
      <w:pPr>
        <w:pStyle w:val="Heading3"/>
      </w:pPr>
      <w:r>
        <w:t xml:space="preserve">9. </w:t>
      </w:r>
      <w:r>
        <w:rPr>
          <w:rFonts w:hint="eastAsia"/>
        </w:rPr>
        <w:t xml:space="preserve">适用方式说明</w:t>
      </w:r>
    </w:p>
    <w:p>
      <w:pPr>
        <w:pStyle w:val="FirstParagraph"/>
      </w:pPr>
      <w:r>
        <w:rPr>
          <w:rFonts w:hint="eastAsia"/>
        </w:rPr>
        <w:t xml:space="preserve">本章仅保留集团层面适用于各业务系统的通用原则，不展开某一具体业务系统的能力清单、Tool</w:t>
      </w:r>
      <w:r>
        <w:t xml:space="preserve"> </w:t>
      </w:r>
      <w:r>
        <w:rPr>
          <w:rFonts w:hint="eastAsia"/>
        </w:rPr>
        <w:t xml:space="preserve">明细和验收案例。</w:t>
      </w:r>
    </w:p>
    <w:p>
      <w:pPr>
        <w:pStyle w:val="BodyText"/>
      </w:pPr>
      <w:r>
        <w:rPr>
          <w:rFonts w:hint="eastAsia"/>
        </w:rPr>
        <w:t xml:space="preserve">后续如某业务系统需要详细规定其</w:t>
      </w:r>
      <w:r>
        <w:t xml:space="preserve"> AI </w:t>
      </w:r>
      <w:r>
        <w:rPr>
          <w:rFonts w:hint="eastAsia"/>
        </w:rPr>
        <w:t xml:space="preserve">接入范围、能力开放清单、联调要求和验收条款，应另行编制该系统的专项</w:t>
      </w:r>
      <w:r>
        <w:t xml:space="preserve"> AI </w:t>
      </w:r>
      <w:r>
        <w:rPr>
          <w:rFonts w:hint="eastAsia"/>
        </w:rPr>
        <w:t xml:space="preserve">规范或招标附件，并在其中引用本章通用原则。</w:t>
      </w:r>
    </w:p>
    <w:p>
      <w:pPr>
        <w:pStyle w:val="BodyText"/>
      </w:pPr>
      <w:r>
        <w:rPr>
          <w:rFonts w:hint="eastAsia"/>
        </w:rPr>
        <w:t xml:space="preserve">当前可作为参考的专项材料目录：</w:t>
      </w:r>
      <w:r>
        <w:rPr>
          <w:rStyle w:val="VerbatimChar"/>
          <w:rFonts w:hint="eastAsia"/>
        </w:rPr>
        <w:t xml:space="preserve">docs/集团统筹/AI接入专题/</w:t>
      </w:r>
      <w:r>
        <w:t xml:space="preserve">。</w:t>
      </w:r>
    </w:p>
    <w:bookmarkEnd w:id="43"/>
    <w:bookmarkEnd w:id="44"/>
    <w:bookmarkStart w:id="48" w:name="九统一运维与日志审计要求"/>
    <w:p>
      <w:pPr>
        <w:pStyle w:val="Heading2"/>
      </w:pPr>
      <w:r>
        <w:rPr>
          <w:rFonts w:hint="eastAsia"/>
        </w:rPr>
        <w:t xml:space="preserve">九、统一运维与日志审计要求</w:t>
      </w:r>
    </w:p>
    <w:p>
      <w:pPr>
        <w:pStyle w:val="FirstParagraph"/>
      </w:pPr>
      <w:r>
        <w:rPr>
          <w:rFonts w:hint="eastAsia"/>
        </w:rPr>
        <w:t xml:space="preserve">各业务系统应纳入集团统一运维和审计管理框架。</w:t>
      </w:r>
    </w:p>
    <w:bookmarkStart w:id="45" w:name="运维要求"/>
    <w:p>
      <w:pPr>
        <w:pStyle w:val="Heading3"/>
      </w:pPr>
      <w:r>
        <w:t xml:space="preserve">1. </w:t>
      </w:r>
      <w:r>
        <w:rPr>
          <w:rFonts w:hint="eastAsia"/>
        </w:rPr>
        <w:t xml:space="preserve">运维要求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系统应支持统一部署、统一监控、统一告警和统一问题管理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应具备基本的运行状态监测、故障提示和问题排查能力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应具备数据备份、恢复和应急处理能力</w:t>
      </w:r>
    </w:p>
    <w:bookmarkEnd w:id="45"/>
    <w:bookmarkStart w:id="46" w:name="日志要求"/>
    <w:p>
      <w:pPr>
        <w:pStyle w:val="Heading3"/>
      </w:pPr>
      <w:r>
        <w:t xml:space="preserve">2. </w:t>
      </w:r>
      <w:r>
        <w:rPr>
          <w:rFonts w:hint="eastAsia"/>
        </w:rPr>
        <w:t xml:space="preserve">日志要求</w:t>
      </w:r>
    </w:p>
    <w:p>
      <w:pPr>
        <w:pStyle w:val="FirstParagraph"/>
      </w:pPr>
      <w:r>
        <w:rPr>
          <w:rFonts w:hint="eastAsia"/>
        </w:rPr>
        <w:t xml:space="preserve">系统应至少具备以下日志能力：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用户登录日志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关键业务操作日志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审批流转日志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接口调用日志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异常与错误日志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数据变更留痕</w:t>
      </w:r>
    </w:p>
    <w:bookmarkEnd w:id="46"/>
    <w:bookmarkStart w:id="47" w:name="审计要求"/>
    <w:p>
      <w:pPr>
        <w:pStyle w:val="Heading3"/>
      </w:pPr>
      <w:r>
        <w:t xml:space="preserve">3. </w:t>
      </w:r>
      <w:r>
        <w:rPr>
          <w:rFonts w:hint="eastAsia"/>
        </w:rPr>
        <w:t xml:space="preserve">审计要求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关键业务操作应可追溯到人、时间、动作和结果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对权限变更、接口失败、异常重推、数据修正等敏感操作应重点留痕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审计信息应满足后续检查、追责和问题复盘需要</w:t>
      </w:r>
    </w:p>
    <w:bookmarkEnd w:id="47"/>
    <w:bookmarkEnd w:id="48"/>
    <w:bookmarkStart w:id="51" w:name="十统一信创与安全可控要求"/>
    <w:p>
      <w:pPr>
        <w:pStyle w:val="Heading2"/>
      </w:pPr>
      <w:r>
        <w:rPr>
          <w:rFonts w:hint="eastAsia"/>
        </w:rPr>
        <w:t xml:space="preserve">十、统一信创与安全可控要求</w:t>
      </w:r>
    </w:p>
    <w:bookmarkStart w:id="49" w:name="信创适配要求"/>
    <w:p>
      <w:pPr>
        <w:pStyle w:val="Heading3"/>
      </w:pPr>
      <w:r>
        <w:t xml:space="preserve">1. </w:t>
      </w:r>
      <w:r>
        <w:rPr>
          <w:rFonts w:hint="eastAsia"/>
        </w:rPr>
        <w:t xml:space="preserve">信创适配要求</w:t>
      </w:r>
    </w:p>
    <w:p>
      <w:pPr>
        <w:pStyle w:val="FirstParagraph"/>
      </w:pPr>
      <w:r>
        <w:rPr>
          <w:rFonts w:hint="eastAsia"/>
        </w:rPr>
        <w:t xml:space="preserve">各业务系统建设应结合集团信创和国产化建设要求统筹考虑：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部署环境适配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操作系统、中间件、数据库等组件兼容性，数据库优先选用</w:t>
      </w:r>
      <w:r>
        <w:t xml:space="preserve"> PostgreSQL </w:t>
      </w:r>
      <w:r>
        <w:rPr>
          <w:rFonts w:hint="eastAsia"/>
        </w:rPr>
        <w:t xml:space="preserve">兼容的国产信创数据库（如瀚高</w:t>
      </w:r>
      <w:r>
        <w:t xml:space="preserve"> </w:t>
      </w:r>
      <w:r>
        <w:rPr>
          <w:rFonts w:hint="eastAsia"/>
        </w:rPr>
        <w:t xml:space="preserve">HGDB、人大金仓</w:t>
      </w:r>
      <w:r>
        <w:t xml:space="preserve"> KingbaseES </w:t>
      </w:r>
      <w:r>
        <w:rPr>
          <w:rFonts w:hint="eastAsia"/>
        </w:rPr>
        <w:t xml:space="preserve">等）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私有化部署和可控运行能力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后续平滑迁移和统一管理能力</w:t>
      </w:r>
    </w:p>
    <w:bookmarkEnd w:id="49"/>
    <w:bookmarkStart w:id="50" w:name="安全可控要求"/>
    <w:p>
      <w:pPr>
        <w:pStyle w:val="Heading3"/>
      </w:pPr>
      <w:r>
        <w:t xml:space="preserve">2. </w:t>
      </w:r>
      <w:r>
        <w:rPr>
          <w:rFonts w:hint="eastAsia"/>
        </w:rPr>
        <w:t xml:space="preserve">安全可控要求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系统应满足集团账号安全、权限控制、数据安全和日志审计要求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不应引入无法管控、无法审计、无法持续运维的关键依赖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对敏感数据、敏感接口和高风险操作应有明确控制机制</w:t>
      </w:r>
    </w:p>
    <w:bookmarkEnd w:id="50"/>
    <w:bookmarkEnd w:id="51"/>
    <w:bookmarkStart w:id="58" w:name="十一对项目建设招标实施和验收的约束要求"/>
    <w:p>
      <w:pPr>
        <w:pStyle w:val="Heading2"/>
      </w:pPr>
      <w:r>
        <w:rPr>
          <w:rFonts w:hint="eastAsia"/>
        </w:rPr>
        <w:t xml:space="preserve">十一、对项目建设、招标、实施和验收的约束要求</w:t>
      </w:r>
    </w:p>
    <w:p>
      <w:pPr>
        <w:pStyle w:val="FirstParagraph"/>
      </w:pPr>
      <w:r>
        <w:rPr>
          <w:rFonts w:hint="eastAsia"/>
        </w:rPr>
        <w:t xml:space="preserve">本文件作为集团层面的上位原则，应贯穿各系统建设全过程。</w:t>
      </w:r>
    </w:p>
    <w:bookmarkStart w:id="52" w:name="需求与立项阶段"/>
    <w:p>
      <w:pPr>
        <w:pStyle w:val="Heading3"/>
      </w:pPr>
      <w:r>
        <w:t xml:space="preserve">1. </w:t>
      </w:r>
      <w:r>
        <w:rPr>
          <w:rFonts w:hint="eastAsia"/>
        </w:rPr>
        <w:t xml:space="preserve">需求与立项阶段</w:t>
      </w:r>
    </w:p>
    <w:p>
      <w:pPr>
        <w:pStyle w:val="FirstParagraph"/>
      </w:pPr>
      <w:r>
        <w:rPr>
          <w:rFonts w:hint="eastAsia"/>
        </w:rPr>
        <w:t xml:space="preserve">应明确：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本系统应遵循哪些集团统一原则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涉及哪些权威数据源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是否需要接入统一权限体系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是否需要接入集团统一接口和运维体系</w:t>
      </w:r>
    </w:p>
    <w:bookmarkEnd w:id="52"/>
    <w:bookmarkStart w:id="53" w:name="招标与采购阶段"/>
    <w:p>
      <w:pPr>
        <w:pStyle w:val="Heading3"/>
      </w:pPr>
      <w:r>
        <w:t xml:space="preserve">2. </w:t>
      </w:r>
      <w:r>
        <w:rPr>
          <w:rFonts w:hint="eastAsia"/>
        </w:rPr>
        <w:t xml:space="preserve">招标与采购阶段</w:t>
      </w:r>
    </w:p>
    <w:p>
      <w:pPr>
        <w:pStyle w:val="FirstParagraph"/>
      </w:pPr>
      <w:r>
        <w:rPr>
          <w:rFonts w:hint="eastAsia"/>
        </w:rPr>
        <w:t xml:space="preserve">应明确将本文件要求纳入招标技术要求、供应商响应要求和评审关注点中，避免后续因理解不一致导致返工或扯皮。</w:t>
      </w:r>
    </w:p>
    <w:bookmarkEnd w:id="53"/>
    <w:bookmarkStart w:id="54" w:name="设计与开发阶段"/>
    <w:p>
      <w:pPr>
        <w:pStyle w:val="Heading3"/>
      </w:pPr>
      <w:r>
        <w:t xml:space="preserve">3. </w:t>
      </w:r>
      <w:r>
        <w:rPr>
          <w:rFonts w:hint="eastAsia"/>
        </w:rPr>
        <w:t xml:space="preserve">设计与开发阶段</w:t>
      </w:r>
    </w:p>
    <w:p>
      <w:pPr>
        <w:pStyle w:val="FirstParagraph"/>
      </w:pPr>
      <w:r>
        <w:rPr>
          <w:rFonts w:hint="eastAsia"/>
        </w:rPr>
        <w:t xml:space="preserve">应明确：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统一权限如何接入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权威数据如何同步或映射</w:t>
      </w:r>
    </w:p>
    <w:p>
      <w:pPr>
        <w:pStyle w:val="Compact"/>
        <w:numPr>
          <w:ilvl w:val="0"/>
          <w:numId w:val="1028"/>
        </w:numPr>
      </w:pPr>
      <w:r>
        <w:t xml:space="preserve">API/JSON </w:t>
      </w:r>
      <w:r>
        <w:rPr>
          <w:rFonts w:hint="eastAsia"/>
        </w:rPr>
        <w:t xml:space="preserve">接口如何实现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日志、审计、监控如何落地</w:t>
      </w:r>
    </w:p>
    <w:p>
      <w:pPr>
        <w:pStyle w:val="Compact"/>
        <w:numPr>
          <w:ilvl w:val="0"/>
          <w:numId w:val="1028"/>
        </w:numPr>
      </w:pPr>
      <w:r>
        <w:t xml:space="preserve">AI </w:t>
      </w:r>
      <w:r>
        <w:rPr>
          <w:rFonts w:hint="eastAsia"/>
        </w:rPr>
        <w:t xml:space="preserve">助理入口如何支持或预留</w:t>
      </w:r>
    </w:p>
    <w:bookmarkEnd w:id="54"/>
    <w:bookmarkStart w:id="55" w:name="实施与联调阶段"/>
    <w:p>
      <w:pPr>
        <w:pStyle w:val="Heading3"/>
      </w:pPr>
      <w:r>
        <w:t xml:space="preserve">4. </w:t>
      </w:r>
      <w:r>
        <w:rPr>
          <w:rFonts w:hint="eastAsia"/>
        </w:rPr>
        <w:t xml:space="preserve">实施与联调阶段</w:t>
      </w:r>
    </w:p>
    <w:p>
      <w:pPr>
        <w:pStyle w:val="FirstParagraph"/>
      </w:pPr>
      <w:r>
        <w:rPr>
          <w:rFonts w:hint="eastAsia"/>
        </w:rPr>
        <w:t xml:space="preserve">应验证：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权限接入是否有效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权威数据同步是否稳定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接口标准是否符合要求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日志和异常处理是否可用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与集团现有体系能否顺利协同</w:t>
      </w:r>
    </w:p>
    <w:bookmarkEnd w:id="55"/>
    <w:bookmarkStart w:id="56" w:name="验收阶段"/>
    <w:p>
      <w:pPr>
        <w:pStyle w:val="Heading3"/>
      </w:pPr>
      <w:r>
        <w:t xml:space="preserve">5. </w:t>
      </w:r>
      <w:r>
        <w:rPr>
          <w:rFonts w:hint="eastAsia"/>
        </w:rPr>
        <w:t xml:space="preserve">验收阶段</w:t>
      </w:r>
    </w:p>
    <w:p>
      <w:pPr>
        <w:pStyle w:val="FirstParagraph"/>
      </w:pPr>
      <w:r>
        <w:rPr>
          <w:rFonts w:hint="eastAsia"/>
        </w:rPr>
        <w:t xml:space="preserve">建议将以下内容纳入验收检查范围：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是否实现统一登录或</w:t>
      </w:r>
      <w:r>
        <w:t xml:space="preserve"> SSO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是否明确并接入权威数据源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是否按</w:t>
      </w:r>
      <w:r>
        <w:t xml:space="preserve"> API + JSON </w:t>
      </w:r>
      <w:r>
        <w:rPr>
          <w:rFonts w:hint="eastAsia"/>
        </w:rPr>
        <w:t xml:space="preserve">标准进行系统集成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是否具备日志、审计和问题追踪能力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是否满足信创和安全可控要求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是否支持或预留统一</w:t>
      </w:r>
      <w:r>
        <w:t xml:space="preserve"> AI </w:t>
      </w:r>
      <w:r>
        <w:rPr>
          <w:rFonts w:hint="eastAsia"/>
        </w:rPr>
        <w:t xml:space="preserve">助理入口能力</w:t>
      </w:r>
    </w:p>
    <w:bookmarkEnd w:id="56"/>
    <w:bookmarkStart w:id="57" w:name="文档引用与分层要求"/>
    <w:p>
      <w:pPr>
        <w:pStyle w:val="Heading3"/>
      </w:pPr>
      <w:r>
        <w:t xml:space="preserve">6. </w:t>
      </w:r>
      <w:r>
        <w:rPr>
          <w:rFonts w:hint="eastAsia"/>
        </w:rPr>
        <w:t xml:space="preserve">文档引用与分层要求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各系统项目在编制项目总说明、招标技术要求、实施方案时，应明确本项目所遵循的集团统筹层文件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项目主文档应作为系统建设的主体依据，专项附件仅用于补充展开，不替代主文档正文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对</w:t>
      </w:r>
      <w:r>
        <w:t xml:space="preserve"> AI </w:t>
      </w:r>
      <w:r>
        <w:rPr>
          <w:rFonts w:hint="eastAsia"/>
        </w:rPr>
        <w:t xml:space="preserve">接入、接口清单、测试场景、验收条款等专题内容，可形成专项附件，但如涉及项目范围和建设要求，应先写入主文档再以附件细化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建议各项目单独形成《文档分层与引用关系说明》或同类章节，明确上位文件、主文档与专项附件之间的优先级关系</w:t>
      </w:r>
    </w:p>
    <w:bookmarkEnd w:id="57"/>
    <w:bookmarkEnd w:id="58"/>
    <w:bookmarkStart w:id="59" w:name="十二最小合规要求清单建议"/>
    <w:p>
      <w:pPr>
        <w:pStyle w:val="Heading2"/>
      </w:pPr>
      <w:r>
        <w:rPr>
          <w:rFonts w:hint="eastAsia"/>
        </w:rPr>
        <w:t xml:space="preserve">十二、最小合规要求清单（建议）</w:t>
      </w:r>
    </w:p>
    <w:p>
      <w:pPr>
        <w:pStyle w:val="FirstParagraph"/>
      </w:pPr>
      <w:r>
        <w:rPr>
          <w:rFonts w:hint="eastAsia"/>
        </w:rPr>
        <w:t xml:space="preserve">为便于今后对各业务系统提出统一建设要求，建议将以下内容作为最小合规项：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建议口径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原则上接入统一权限体系，至少实现</w:t>
            </w:r>
            <w:r>
              <w:t xml:space="preserve"> 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权威数据源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明确核心主数据权威来源，不重复长期维护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统一接口方式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系统间原则上通过</w:t>
            </w:r>
            <w:r>
              <w:t xml:space="preserve"> API </w:t>
            </w:r>
            <w:r>
              <w:rPr>
                <w:rFonts w:hint="eastAsia"/>
              </w:rPr>
              <w:t xml:space="preserve">集成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统一报文格式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接口报文统一采用</w:t>
            </w:r>
            <w:r>
              <w:t xml:space="preserve">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日志与审计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关键操作、接口、审批、异常必须留痕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运维可管可控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支持监控、告警、备份、恢复、问题追踪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信创适配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满足集团国产化、私有化和信创要求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助理入口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原则上支持或至少预留统一</w:t>
            </w:r>
            <w:r>
              <w:t xml:space="preserve"> AI </w:t>
            </w:r>
            <w:r>
              <w:rPr>
                <w:rFonts w:hint="eastAsia"/>
              </w:rPr>
              <w:t xml:space="preserve">助理入口能力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各业务系统独立部署数据库，通过平台</w:t>
            </w:r>
            <w:r>
              <w:t xml:space="preserve"> API </w:t>
            </w:r>
            <w:r>
              <w:rPr>
                <w:rFonts w:hint="eastAsia"/>
              </w:rPr>
              <w:t xml:space="preserve">低耦合集成</w:t>
            </w:r>
          </w:p>
        </w:tc>
      </w:tr>
    </w:tbl>
    <w:bookmarkEnd w:id="59"/>
    <w:bookmarkStart w:id="60" w:name="十三执行与后续完善建议"/>
    <w:p>
      <w:pPr>
        <w:pStyle w:val="Heading2"/>
      </w:pPr>
      <w:r>
        <w:rPr>
          <w:rFonts w:hint="eastAsia"/>
        </w:rPr>
        <w:t xml:space="preserve">十三、执行与后续完善建议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本文件可先作为集团信息化制度体系建设中的原则性文件使用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后续可在此基础上继续拆分形成：统一权限规范、统一数据标准规范、统一接口规范、统一运维规范等专题文件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对暂时无法完全满足本文件要求的既有系统，可在改造升级过程中逐步对齐，不必一刀切，但应形成整改计划</w:t>
      </w:r>
    </w:p>
    <w:bookmarkEnd w:id="60"/>
    <w:bookmarkStart w:id="61" w:name="十四一句话总结"/>
    <w:p>
      <w:pPr>
        <w:pStyle w:val="Heading2"/>
      </w:pPr>
      <w:r>
        <w:rPr>
          <w:rFonts w:hint="eastAsia"/>
        </w:rPr>
        <w:t xml:space="preserve">十四、一句话总结</w:t>
      </w:r>
    </w:p>
    <w:p>
      <w:pPr>
        <w:pStyle w:val="FirstParagraph"/>
      </w:pPr>
      <w:r>
        <w:rPr>
          <w:rFonts w:hint="eastAsia"/>
        </w:rPr>
        <w:t xml:space="preserve">集团业务系统建设不应再以单系统、单部门视角孤立推进，而应在集团统一治理框架下，围绕</w:t>
      </w:r>
      <w:r>
        <w:rPr>
          <w:rFonts w:hint="eastAsia"/>
          <w:b/>
          <w:bCs/>
        </w:rPr>
        <w:t xml:space="preserve">统一权限、统一数据、统一接口、统一运维、统一安全和统一扩展能力</w:t>
      </w:r>
      <w:r>
        <w:rPr>
          <w:rFonts w:hint="eastAsia"/>
        </w:rPr>
        <w:t xml:space="preserve">开展规划与建设。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2026-03-25T03:11:19Z</dcterms:created>
  <dcterms:modified xsi:type="dcterms:W3CDTF">2026-03-25T03:11:19Z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