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C61B4C">
      <w:pPr>
        <w:pStyle w:val="3"/>
        <w:keepNext/>
        <w:jc w:val="center"/>
        <w:rPr>
          <w:color w:val="auto"/>
        </w:rPr>
      </w:pPr>
      <w:r>
        <w:rPr>
          <w:rFonts w:ascii="宋体" w:hAnsi="宋体" w:eastAsia="宋体" w:cs="宋体"/>
          <w:b/>
          <w:color w:val="auto"/>
          <w:sz w:val="40"/>
          <w:szCs w:val="40"/>
        </w:rPr>
        <w:t>阜矿集团 NC 财务接口能力确认函 V0.1</w:t>
      </w:r>
    </w:p>
    <w:p w14:paraId="20894104">
      <w:pPr>
        <w:rPr>
          <w:color w:val="auto"/>
        </w:rPr>
      </w:pPr>
      <w:r>
        <w:rPr>
          <w:rFonts w:ascii="宋体" w:hAnsi="宋体" w:eastAsia="宋体" w:cs="宋体"/>
          <w:b/>
          <w:color w:val="auto"/>
          <w:sz w:val="28"/>
          <w:szCs w:val="28"/>
        </w:rPr>
        <w:t>事项：</w:t>
      </w:r>
      <w:r>
        <w:rPr>
          <w:rFonts w:ascii="宋体" w:hAnsi="宋体" w:eastAsia="宋体" w:cs="宋体"/>
          <w:color w:val="auto"/>
          <w:sz w:val="28"/>
          <w:szCs w:val="28"/>
        </w:rPr>
        <w:t xml:space="preserve"> 阜矿集团业务系统与 NC 财务系统接口能力确认</w:t>
      </w:r>
    </w:p>
    <w:p w14:paraId="4C5CE885">
      <w:pPr>
        <w:rPr>
          <w:color w:val="auto"/>
        </w:rPr>
      </w:pPr>
      <w:r>
        <w:rPr>
          <w:rFonts w:ascii="宋体" w:hAnsi="宋体" w:eastAsia="宋体" w:cs="宋体"/>
          <w:b/>
          <w:color w:val="auto"/>
          <w:sz w:val="28"/>
          <w:szCs w:val="28"/>
        </w:rPr>
        <w:t>发文对象：</w:t>
      </w:r>
      <w:r>
        <w:rPr>
          <w:rFonts w:ascii="宋体" w:hAnsi="宋体" w:eastAsia="宋体" w:cs="宋体"/>
          <w:color w:val="auto"/>
          <w:sz w:val="28"/>
          <w:szCs w:val="28"/>
        </w:rPr>
        <w:t xml:space="preserve"> 用友 NC 项目组 / NC 财务系统接口集成团队</w:t>
      </w:r>
    </w:p>
    <w:p w14:paraId="4B3F224D">
      <w:pPr>
        <w:rPr>
          <w:color w:val="auto"/>
        </w:rPr>
      </w:pPr>
      <w:r>
        <w:rPr>
          <w:rFonts w:ascii="宋体" w:hAnsi="宋体" w:eastAsia="宋体" w:cs="宋体"/>
          <w:b/>
          <w:color w:val="auto"/>
          <w:sz w:val="28"/>
          <w:szCs w:val="28"/>
        </w:rPr>
        <w:t>文档性质：</w:t>
      </w:r>
      <w:r>
        <w:rPr>
          <w:rFonts w:ascii="宋体" w:hAnsi="宋体" w:eastAsia="宋体" w:cs="宋体"/>
          <w:color w:val="auto"/>
          <w:sz w:val="28"/>
          <w:szCs w:val="28"/>
        </w:rPr>
        <w:t xml:space="preserve"> 对外发文单 / 接口功能确认函</w:t>
      </w:r>
    </w:p>
    <w:p w14:paraId="0261D941">
      <w:pPr>
        <w:rPr>
          <w:color w:val="auto"/>
        </w:rPr>
      </w:pPr>
      <w:r>
        <w:rPr>
          <w:rFonts w:ascii="宋体" w:hAnsi="宋体" w:eastAsia="宋体" w:cs="宋体"/>
          <w:b/>
          <w:color w:val="auto"/>
          <w:sz w:val="28"/>
          <w:szCs w:val="28"/>
        </w:rPr>
        <w:t>日期：</w:t>
      </w:r>
      <w:r>
        <w:rPr>
          <w:rFonts w:ascii="宋体" w:hAnsi="宋体" w:eastAsia="宋体" w:cs="宋体"/>
          <w:color w:val="auto"/>
          <w:sz w:val="28"/>
          <w:szCs w:val="28"/>
        </w:rPr>
        <w:t xml:space="preserve"> 2026-05-13</w:t>
      </w:r>
    </w:p>
    <w:p w14:paraId="6F73B332">
      <w:pPr>
        <w:rPr>
          <w:color w:val="auto"/>
        </w:rPr>
      </w:pPr>
      <w:r>
        <w:rPr>
          <w:rFonts w:ascii="宋体" w:hAnsi="宋体" w:eastAsia="宋体" w:cs="宋体"/>
          <w:b/>
          <w:color w:val="auto"/>
          <w:sz w:val="28"/>
          <w:szCs w:val="28"/>
        </w:rPr>
        <w:t>编制依据：</w:t>
      </w:r>
      <w:r>
        <w:rPr>
          <w:rFonts w:ascii="宋体" w:hAnsi="宋体" w:eastAsia="宋体" w:cs="宋体"/>
          <w:color w:val="auto"/>
          <w:sz w:val="28"/>
          <w:szCs w:val="28"/>
        </w:rPr>
        <w:t xml:space="preserve"> 阜矿集团各业务系统（含物资系统、人资系统、销售系统等）与 NC 财务系统对接需求梳理成果</w:t>
      </w:r>
    </w:p>
    <w:p w14:paraId="2C86891F">
      <w:pPr>
        <w:pStyle w:val="4"/>
        <w:keepNext/>
        <w:jc w:val="left"/>
        <w:rPr>
          <w:color w:val="auto"/>
        </w:rPr>
      </w:pPr>
      <w:r>
        <w:rPr>
          <w:rFonts w:ascii="宋体" w:hAnsi="宋体" w:eastAsia="宋体" w:cs="宋体"/>
          <w:b/>
          <w:color w:val="auto"/>
          <w:sz w:val="28"/>
          <w:szCs w:val="28"/>
        </w:rPr>
        <w:t>一、发文目的</w:t>
      </w:r>
    </w:p>
    <w:p w14:paraId="09351060">
      <w:pPr>
        <w:rPr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阜矿集团拟推进各业务系统（含物资系统、人资系统、销售系统等）与用友 NC 财务系统进行接口对接，并希望尽量以</w:t>
      </w:r>
      <w:r>
        <w:rPr>
          <w:rFonts w:ascii="宋体" w:hAnsi="宋体" w:eastAsia="宋体" w:cs="宋体"/>
          <w:b/>
          <w:color w:val="auto"/>
          <w:sz w:val="28"/>
          <w:szCs w:val="28"/>
        </w:rPr>
        <w:t>统一、通用的接口能力</w:t>
      </w:r>
      <w:r>
        <w:rPr>
          <w:rFonts w:ascii="宋体" w:hAnsi="宋体" w:eastAsia="宋体" w:cs="宋体"/>
          <w:color w:val="auto"/>
          <w:sz w:val="28"/>
          <w:szCs w:val="28"/>
        </w:rPr>
        <w:t>承接各业务系统的财务交互需求。本函代表阜矿集团向贵方协商确认 NC 财务侧可开放、可承接或需配合建设的通用接口能力边界，为各业务系统联调、测试和上线排期提供共同依据。</w:t>
      </w:r>
    </w:p>
    <w:p w14:paraId="229FBDBC">
      <w:pPr>
        <w:rPr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本函是阜矿集团对 NC 财务接口能力的通用性确认要求，</w:t>
      </w:r>
      <w:r>
        <w:rPr>
          <w:rFonts w:ascii="宋体" w:hAnsi="宋体" w:eastAsia="宋体" w:cs="宋体"/>
          <w:b/>
          <w:color w:val="auto"/>
          <w:sz w:val="28"/>
          <w:szCs w:val="28"/>
        </w:rPr>
        <w:t>不针对任何单一业务系统</w:t>
      </w:r>
      <w:r>
        <w:rPr>
          <w:rFonts w:ascii="宋体" w:hAnsi="宋体" w:eastAsia="宋体" w:cs="宋体"/>
          <w:color w:val="auto"/>
          <w:sz w:val="28"/>
          <w:szCs w:val="28"/>
        </w:rPr>
        <w:t>。集团相关业务系统原则上拟通过统一报文、凭证模板或 NC 支持的等价方式接入 NC，由 NC 完成制证与账务处理。请贵方重点确认 NC 侧是否具备以下接口能力、需要哪些报文字段、采用什么凭证模板、如何返回凭证号 / 状态 / 错误信息。</w:t>
      </w:r>
    </w:p>
    <w:p w14:paraId="145BB505">
      <w:pPr>
        <w:pStyle w:val="4"/>
        <w:keepNext/>
        <w:jc w:val="left"/>
        <w:rPr>
          <w:color w:val="auto"/>
        </w:rPr>
      </w:pPr>
      <w:r>
        <w:rPr>
          <w:rFonts w:ascii="宋体" w:hAnsi="宋体" w:eastAsia="宋体" w:cs="宋体"/>
          <w:b/>
          <w:color w:val="auto"/>
          <w:sz w:val="28"/>
          <w:szCs w:val="28"/>
        </w:rPr>
        <w:t>二、请贵方确认的接口功能</w:t>
      </w:r>
      <w:bookmarkStart w:id="0" w:name="_GoBack"/>
      <w:bookmarkEnd w:id="0"/>
    </w:p>
    <w:p w14:paraId="10499DCC">
      <w:pPr>
        <w:pStyle w:val="5"/>
        <w:keepNext/>
        <w:jc w:val="left"/>
        <w:rPr>
          <w:color w:val="auto"/>
        </w:rPr>
      </w:pPr>
      <w:r>
        <w:rPr>
          <w:rFonts w:ascii="宋体" w:hAnsi="宋体" w:eastAsia="宋体" w:cs="宋体"/>
          <w:b/>
          <w:color w:val="auto"/>
          <w:sz w:val="32"/>
          <w:szCs w:val="32"/>
        </w:rPr>
        <w:t>2.1 主数据接口能力</w:t>
      </w:r>
    </w:p>
    <w:p w14:paraId="75CFB338">
      <w:pPr>
        <w:rPr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请确认 NC 是否支持以下主数据查询 / 接收能力（包括但不限于）：</w:t>
      </w:r>
    </w:p>
    <w:p w14:paraId="12DE6A88">
      <w:pPr>
        <w:rPr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1. 物料 / 存货档案接收或同步；</w:t>
      </w:r>
    </w:p>
    <w:p w14:paraId="11CB21F7">
      <w:pPr>
        <w:rPr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2. 供应商、客户、往来单位等基础档案查询或同步；</w:t>
      </w:r>
    </w:p>
    <w:p w14:paraId="79263628">
      <w:pPr>
        <w:rPr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3. 人员、部门、成本中心等组织与核算维度查询；</w:t>
      </w:r>
    </w:p>
    <w:p w14:paraId="7CFEC8D7">
      <w:pPr>
        <w:rPr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4. 计量单位字典查询或同步；</w:t>
      </w:r>
    </w:p>
    <w:p w14:paraId="628EBD17">
      <w:pPr>
        <w:rPr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5. 核算组织 / 账套组织查询；</w:t>
      </w:r>
    </w:p>
    <w:p w14:paraId="44BF0D09">
      <w:pPr>
        <w:rPr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6. 会计科目、辅助核算项目等财务基础数据查询；</w:t>
      </w:r>
    </w:p>
    <w:p w14:paraId="52FF9010">
      <w:pPr>
        <w:rPr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7. 主数据是否支持增量查询、启停状态同步和变更时间戳。</w:t>
      </w:r>
    </w:p>
    <w:p w14:paraId="07C34FE6">
      <w:pPr>
        <w:rPr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请提供可用接口路径、字段清单、主键 / 编码字段、增量条件和测试环境说明。</w:t>
      </w:r>
    </w:p>
    <w:p w14:paraId="02B1CA5E">
      <w:pPr>
        <w:pStyle w:val="5"/>
        <w:keepNext/>
        <w:jc w:val="left"/>
        <w:rPr>
          <w:color w:val="auto"/>
        </w:rPr>
      </w:pPr>
      <w:r>
        <w:rPr>
          <w:rFonts w:ascii="宋体" w:hAnsi="宋体" w:eastAsia="宋体" w:cs="宋体"/>
          <w:b/>
          <w:color w:val="auto"/>
          <w:sz w:val="32"/>
          <w:szCs w:val="32"/>
        </w:rPr>
        <w:t>2.2 统一凭证接入能力</w:t>
      </w:r>
    </w:p>
    <w:p w14:paraId="1A82A9A5">
      <w:pPr>
        <w:rPr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请确认 NC 是否支持统一凭证接入能力，即阜矿集团相关业务系统按约定报文推送凭证数据，NC 按凭证模板、交易类型或业务场景编码完成制证。</w:t>
      </w:r>
    </w:p>
    <w:p w14:paraId="5A99BB8E">
      <w:pPr>
        <w:rPr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需贵方确认：</w:t>
      </w:r>
    </w:p>
    <w:p w14:paraId="74AB1980">
      <w:pPr>
        <w:rPr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1. 是否支持统一凭证接收接口；如不支持，需按哪些凭证模板或交易类型拆分；</w:t>
      </w:r>
    </w:p>
    <w:p w14:paraId="1B4A4413">
      <w:pPr>
        <w:rPr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2. 凭证模板编码、名称、适用场景、借贷科目规则；</w:t>
      </w:r>
    </w:p>
    <w:p w14:paraId="4EFD30A0">
      <w:pPr>
        <w:rPr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3. 请求报文字段：来源系统、来源单号、核算组织、期间、摘要、金额、行明细、辅助核算等；</w:t>
      </w:r>
    </w:p>
    <w:p w14:paraId="124B419A">
      <w:pPr>
        <w:rPr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4. 红冲 / 冲销如何处理；</w:t>
      </w:r>
    </w:p>
    <w:p w14:paraId="154FE0AE">
      <w:pPr>
        <w:rPr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5. 是否支持幂等键，重复推送如何返回；</w:t>
      </w:r>
    </w:p>
    <w:p w14:paraId="422377DB">
      <w:pPr>
        <w:rPr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6. 是否支持批量凭证或一张凭证多行分录。</w:t>
      </w:r>
    </w:p>
    <w:p w14:paraId="50B14B7D">
      <w:pPr>
        <w:rPr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典型场景仅作模板覆盖范围举例，</w:t>
      </w:r>
      <w:r>
        <w:rPr>
          <w:rFonts w:ascii="宋体" w:hAnsi="宋体" w:eastAsia="宋体" w:cs="宋体"/>
          <w:b/>
          <w:color w:val="auto"/>
          <w:sz w:val="28"/>
          <w:szCs w:val="28"/>
        </w:rPr>
        <w:t>跨业务系统</w:t>
      </w:r>
      <w:r>
        <w:rPr>
          <w:rFonts w:ascii="宋体" w:hAnsi="宋体" w:eastAsia="宋体" w:cs="宋体"/>
          <w:color w:val="auto"/>
          <w:sz w:val="28"/>
          <w:szCs w:val="28"/>
        </w:rPr>
        <w:t>包括：</w:t>
      </w:r>
    </w:p>
    <w:p w14:paraId="6BB4988B">
      <w:pPr>
        <w:rPr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 xml:space="preserve">- </w:t>
      </w:r>
      <w:r>
        <w:rPr>
          <w:rFonts w:ascii="宋体" w:hAnsi="宋体" w:eastAsia="宋体" w:cs="宋体"/>
          <w:b/>
          <w:color w:val="auto"/>
          <w:sz w:val="28"/>
          <w:szCs w:val="28"/>
        </w:rPr>
        <w:t>物资类</w:t>
      </w:r>
      <w:r>
        <w:rPr>
          <w:rFonts w:ascii="宋体" w:hAnsi="宋体" w:eastAsia="宋体" w:cs="宋体"/>
          <w:color w:val="auto"/>
          <w:sz w:val="28"/>
          <w:szCs w:val="28"/>
        </w:rPr>
        <w:t>：采购入库、领料出库、对厂矿销售出库、火工品出入库、采购暂估 / 红冲、预付款 / 付款执行；</w:t>
      </w:r>
    </w:p>
    <w:p w14:paraId="55569389">
      <w:pPr>
        <w:rPr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 xml:space="preserve">- </w:t>
      </w:r>
      <w:r>
        <w:rPr>
          <w:rFonts w:ascii="宋体" w:hAnsi="宋体" w:eastAsia="宋体" w:cs="宋体"/>
          <w:b/>
          <w:color w:val="auto"/>
          <w:sz w:val="28"/>
          <w:szCs w:val="28"/>
        </w:rPr>
        <w:t>人资类</w:t>
      </w:r>
      <w:r>
        <w:rPr>
          <w:rFonts w:ascii="宋体" w:hAnsi="宋体" w:eastAsia="宋体" w:cs="宋体"/>
          <w:color w:val="auto"/>
          <w:sz w:val="28"/>
          <w:szCs w:val="28"/>
        </w:rPr>
        <w:t>：薪资发放、社保 / 公积金 / 个税计提、福利费用、人工成本归集；</w:t>
      </w:r>
    </w:p>
    <w:p w14:paraId="5B44066C">
      <w:pPr>
        <w:rPr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 xml:space="preserve">- </w:t>
      </w:r>
      <w:r>
        <w:rPr>
          <w:rFonts w:ascii="宋体" w:hAnsi="宋体" w:eastAsia="宋体" w:cs="宋体"/>
          <w:b/>
          <w:color w:val="auto"/>
          <w:sz w:val="28"/>
          <w:szCs w:val="28"/>
        </w:rPr>
        <w:t>销售类</w:t>
      </w:r>
      <w:r>
        <w:rPr>
          <w:rFonts w:ascii="宋体" w:hAnsi="宋体" w:eastAsia="宋体" w:cs="宋体"/>
          <w:color w:val="auto"/>
          <w:sz w:val="28"/>
          <w:szCs w:val="28"/>
        </w:rPr>
        <w:t>：销售开票、销售回款、坏账计提、退货红冲、客户预收款。</w:t>
      </w:r>
    </w:p>
    <w:p w14:paraId="1A11C3A0">
      <w:pPr>
        <w:rPr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上述场景不要求 NC 按各业务系统内部编码逐项拆分独立接口，</w:t>
      </w:r>
      <w:r>
        <w:rPr>
          <w:rFonts w:ascii="宋体" w:hAnsi="宋体" w:eastAsia="宋体" w:cs="宋体"/>
          <w:b/>
          <w:color w:val="auto"/>
          <w:sz w:val="28"/>
          <w:szCs w:val="28"/>
        </w:rPr>
        <w:t>重点是确认是否可通过统一凭证接入能力按凭证模板 / 交易类型完成制证</w:t>
      </w:r>
      <w:r>
        <w:rPr>
          <w:rFonts w:ascii="宋体" w:hAnsi="宋体" w:eastAsia="宋体" w:cs="宋体"/>
          <w:color w:val="auto"/>
          <w:sz w:val="28"/>
          <w:szCs w:val="28"/>
        </w:rPr>
        <w:t>。</w:t>
      </w:r>
    </w:p>
    <w:p w14:paraId="6C0FF18C">
      <w:pPr>
        <w:pStyle w:val="5"/>
        <w:keepNext/>
        <w:jc w:val="left"/>
        <w:rPr>
          <w:color w:val="auto"/>
        </w:rPr>
      </w:pPr>
      <w:r>
        <w:rPr>
          <w:rFonts w:ascii="宋体" w:hAnsi="宋体" w:eastAsia="宋体" w:cs="宋体"/>
          <w:b/>
          <w:color w:val="auto"/>
          <w:sz w:val="32"/>
          <w:szCs w:val="32"/>
        </w:rPr>
        <w:t>2.3 凭证回执与状态查询能力</w:t>
      </w:r>
    </w:p>
    <w:p w14:paraId="029979D9">
      <w:pPr>
        <w:rPr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请确认 NC 对凭证处理结果的返回方式：</w:t>
      </w:r>
    </w:p>
    <w:p w14:paraId="5A5910A4">
      <w:pPr>
        <w:rPr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1. 同步返回凭证号，还是异步回调 / 查询；</w:t>
      </w:r>
    </w:p>
    <w:p w14:paraId="78FABE11">
      <w:pPr>
        <w:rPr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2. 是否返回 NC 凭证号、任务号、记账状态、记账时间；</w:t>
      </w:r>
    </w:p>
    <w:p w14:paraId="32A76375">
      <w:pPr>
        <w:rPr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3. 失败时是否返回错误码、错误原因和处理建议；</w:t>
      </w:r>
    </w:p>
    <w:p w14:paraId="0B5AF001">
      <w:pPr>
        <w:rPr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4. 是否支持按来源单号、任务号、NC 凭证号查询处理状态。</w:t>
      </w:r>
    </w:p>
    <w:p w14:paraId="3DE43E95">
      <w:pPr>
        <w:pStyle w:val="5"/>
        <w:keepNext/>
        <w:jc w:val="left"/>
        <w:rPr>
          <w:color w:val="auto"/>
        </w:rPr>
      </w:pPr>
      <w:r>
        <w:rPr>
          <w:rFonts w:ascii="宋体" w:hAnsi="宋体" w:eastAsia="宋体" w:cs="宋体"/>
          <w:b/>
          <w:color w:val="auto"/>
          <w:sz w:val="32"/>
          <w:szCs w:val="32"/>
        </w:rPr>
        <w:t>2.4 应收、应付、往来余额及凭证明细只读查询能力</w:t>
      </w:r>
    </w:p>
    <w:p w14:paraId="2EAC692F">
      <w:pPr>
        <w:rPr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阜矿集团相关业务系统需要进行业务对账、付款 / 收款状态核验、往来余额核对和凭证穿透查询。请确认 NC 是否提供正式只读查询接口，而非数据库直连。</w:t>
      </w:r>
    </w:p>
    <w:p w14:paraId="040D93C5">
      <w:pPr>
        <w:rPr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需确认的查询能力包括：</w:t>
      </w:r>
    </w:p>
    <w:p w14:paraId="2F935516">
      <w:pPr>
        <w:rPr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1. 应付明细账查询：供应商 / 员工 / 内部单位等往来对象的应付发生、付款核销、余额；</w:t>
      </w:r>
    </w:p>
    <w:p w14:paraId="302791DE">
      <w:pPr>
        <w:rPr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2. 应收明细账查询：客户 / 厂矿 / 内部单位等往来对象的应收发生、收款核销、余额；</w:t>
      </w:r>
    </w:p>
    <w:p w14:paraId="3C5AAF6D">
      <w:pPr>
        <w:rPr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3. 凭证明细 / 分录查询：按 NC 凭证号、来源单号或期间查询分录；</w:t>
      </w:r>
    </w:p>
    <w:p w14:paraId="2D409FD8">
      <w:pPr>
        <w:rPr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4. 往来余额查询：按供应商 / 客户 / 员工 / 核算组织 / 期间查询余额；</w:t>
      </w:r>
    </w:p>
    <w:p w14:paraId="527C0A87">
      <w:pPr>
        <w:rPr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5. 核销 / 结算状态查询：某笔应付 / 应收是否已付款、已收款、已核销及剩余余额。</w:t>
      </w:r>
    </w:p>
    <w:p w14:paraId="43484288">
      <w:pPr>
        <w:rPr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请提供查询条件、返回字段、分页方式、权限范围、最大查询时间跨度和接口限流要求。</w:t>
      </w:r>
    </w:p>
    <w:p w14:paraId="1D1139B9">
      <w:pPr>
        <w:pStyle w:val="5"/>
        <w:keepNext/>
        <w:jc w:val="left"/>
        <w:rPr>
          <w:color w:val="auto"/>
        </w:rPr>
      </w:pPr>
      <w:r>
        <w:rPr>
          <w:rFonts w:ascii="宋体" w:hAnsi="宋体" w:eastAsia="宋体" w:cs="宋体"/>
          <w:b/>
          <w:color w:val="auto"/>
          <w:sz w:val="32"/>
          <w:szCs w:val="32"/>
        </w:rPr>
        <w:t>2.5 对账与期间控制能力</w:t>
      </w:r>
    </w:p>
    <w:p w14:paraId="08C18385">
      <w:pPr>
        <w:rPr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请确认 NC 是否支持：</w:t>
      </w:r>
    </w:p>
    <w:p w14:paraId="28E56061">
      <w:pPr>
        <w:rPr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1. 日 / 月对账数据查询；</w:t>
      </w:r>
    </w:p>
    <w:p w14:paraId="7ADF05B0">
      <w:pPr>
        <w:rPr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2. 凭证状态批量查询；</w:t>
      </w:r>
    </w:p>
    <w:p w14:paraId="43A644E5">
      <w:pPr>
        <w:rPr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3. 当前会计期间状态查询；</w:t>
      </w:r>
    </w:p>
    <w:p w14:paraId="322A691F">
      <w:pPr>
        <w:rPr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4. 已结账期间是否允许补推；</w:t>
      </w:r>
    </w:p>
    <w:p w14:paraId="4F8893D2">
      <w:pPr>
        <w:rPr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5. 反结是否支持接口申请，或只能在 NC 系统内人工处理。</w:t>
      </w:r>
    </w:p>
    <w:p w14:paraId="0DD2C614">
      <w:pPr>
        <w:pStyle w:val="5"/>
        <w:keepNext/>
        <w:jc w:val="left"/>
        <w:rPr>
          <w:color w:val="auto"/>
        </w:rPr>
      </w:pPr>
      <w:r>
        <w:rPr>
          <w:rFonts w:ascii="宋体" w:hAnsi="宋体" w:eastAsia="宋体" w:cs="宋体"/>
          <w:b/>
          <w:color w:val="auto"/>
          <w:sz w:val="32"/>
          <w:szCs w:val="32"/>
        </w:rPr>
        <w:t>2.6 接口基础条件</w:t>
      </w:r>
    </w:p>
    <w:p w14:paraId="0C313EC7">
      <w:pPr>
        <w:rPr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请一并确认以下基础条件：</w:t>
      </w:r>
    </w:p>
    <w:p w14:paraId="35DC88BC">
      <w:pPr>
        <w:rPr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1. UAT / 生产环境 baseURL；</w:t>
      </w:r>
    </w:p>
    <w:p w14:paraId="402C0129">
      <w:pPr>
        <w:rPr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2. 鉴权方式：OAuth2、API Key + 签名、mTLS 或其他；</w:t>
      </w:r>
    </w:p>
    <w:p w14:paraId="71CC3237">
      <w:pPr>
        <w:rPr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3. IP 白名单、网络通道和证书要求；</w:t>
      </w:r>
    </w:p>
    <w:p w14:paraId="66331586">
      <w:pPr>
        <w:rPr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4. 请求超时、QPS、并发、报文大小限制；</w:t>
      </w:r>
    </w:p>
    <w:p w14:paraId="0FCDF8D3">
      <w:pPr>
        <w:rPr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5. 错误码分类和码表；</w:t>
      </w:r>
    </w:p>
    <w:p w14:paraId="47A3F67B">
      <w:pPr>
        <w:rPr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6. 接口日志保留周期；</w:t>
      </w:r>
    </w:p>
    <w:p w14:paraId="5722288C">
      <w:pPr>
        <w:rPr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7. 联调负责人、联系方式和应急响应机制；</w:t>
      </w:r>
    </w:p>
    <w:p w14:paraId="51C45833">
      <w:pPr>
        <w:rPr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8. 接口变更提前公告周期。</w:t>
      </w:r>
    </w:p>
    <w:p w14:paraId="6C6C084B">
      <w:pPr>
        <w:pStyle w:val="4"/>
        <w:keepNext/>
        <w:jc w:val="left"/>
        <w:rPr>
          <w:color w:val="auto"/>
        </w:rPr>
      </w:pPr>
      <w:r>
        <w:rPr>
          <w:rFonts w:ascii="宋体" w:hAnsi="宋体" w:eastAsia="宋体" w:cs="宋体"/>
          <w:b/>
          <w:color w:val="auto"/>
          <w:sz w:val="28"/>
          <w:szCs w:val="28"/>
        </w:rPr>
        <w:t>三、建议回函材料</w:t>
      </w:r>
    </w:p>
    <w:p w14:paraId="3B8FF837">
      <w:pPr>
        <w:rPr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请贵方尽量按以下材料回函：</w:t>
      </w:r>
    </w:p>
    <w:p w14:paraId="60A5A04A">
      <w:pPr>
        <w:rPr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1. 当前 NC 项目阶段说明：账套、组织、科目、接口平台是否已具备联调条件；</w:t>
      </w:r>
    </w:p>
    <w:p w14:paraId="2C967D26">
      <w:pPr>
        <w:rPr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2. 可开放接口清单：接口名称、路径、方法、用途、优先级；</w:t>
      </w:r>
    </w:p>
    <w:p w14:paraId="7624DDAE">
      <w:pPr>
        <w:rPr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3. 凭证模板清单：模板编码、适用场景、科目规则、辅助核算要求；</w:t>
      </w:r>
    </w:p>
    <w:p w14:paraId="7104A57A">
      <w:pPr>
        <w:rPr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4. 主数据接口字段说明；</w:t>
      </w:r>
    </w:p>
    <w:p w14:paraId="167A64B5">
      <w:pPr>
        <w:rPr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5. 凭证接入请求 / 响应报文样例；</w:t>
      </w:r>
    </w:p>
    <w:p w14:paraId="4ED644E4">
      <w:pPr>
        <w:rPr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6. 回执、状态查询、账务明细查询、对账接口说明；</w:t>
      </w:r>
    </w:p>
    <w:p w14:paraId="788879BB">
      <w:pPr>
        <w:rPr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7. 鉴权、错误码、幂等、限流、日志和联调安排；</w:t>
      </w:r>
    </w:p>
    <w:p w14:paraId="41366467">
      <w:pPr>
        <w:rPr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8. Swagger / OpenAPI / Postman 文档（如已有）。</w:t>
      </w:r>
    </w:p>
    <w:p w14:paraId="24E31CC2">
      <w:pPr>
        <w:pStyle w:val="4"/>
        <w:keepNext/>
        <w:jc w:val="left"/>
        <w:rPr>
          <w:color w:val="auto"/>
        </w:rPr>
      </w:pPr>
      <w:r>
        <w:rPr>
          <w:rFonts w:ascii="宋体" w:hAnsi="宋体" w:eastAsia="宋体" w:cs="宋体"/>
          <w:b/>
          <w:color w:val="auto"/>
          <w:sz w:val="28"/>
          <w:szCs w:val="28"/>
        </w:rPr>
        <w:t>四、回复时限建议</w:t>
      </w:r>
    </w:p>
    <w:p w14:paraId="11EE1072">
      <w:pPr>
        <w:rPr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 xml:space="preserve">建议贵方在收到本函后 </w:t>
      </w:r>
      <w:r>
        <w:rPr>
          <w:rFonts w:ascii="宋体" w:hAnsi="宋体" w:eastAsia="宋体" w:cs="宋体"/>
          <w:b/>
          <w:color w:val="auto"/>
          <w:sz w:val="28"/>
          <w:szCs w:val="28"/>
        </w:rPr>
        <w:t>10 个工作日内</w:t>
      </w:r>
      <w:r>
        <w:rPr>
          <w:rFonts w:ascii="宋体" w:hAnsi="宋体" w:eastAsia="宋体" w:cs="宋体"/>
          <w:color w:val="auto"/>
          <w:sz w:val="28"/>
          <w:szCs w:val="28"/>
        </w:rPr>
        <w:t xml:space="preserve"> 完成首轮回函；如部分接口能力尚未确定，可先反馈当前能力现状、预计提供方式和计划时间。</w:t>
      </w:r>
    </w:p>
    <w:p w14:paraId="4F3E3EA4">
      <w:pPr>
        <w:pStyle w:val="4"/>
        <w:keepNext/>
        <w:jc w:val="left"/>
        <w:rPr>
          <w:color w:val="auto"/>
        </w:rPr>
      </w:pPr>
      <w:r>
        <w:rPr>
          <w:rFonts w:ascii="宋体" w:hAnsi="宋体" w:eastAsia="宋体" w:cs="宋体"/>
          <w:b/>
          <w:color w:val="auto"/>
          <w:sz w:val="28"/>
          <w:szCs w:val="28"/>
        </w:rPr>
        <w:t>五、联系人</w:t>
      </w:r>
    </w:p>
    <w:tbl>
      <w:tblPr>
        <w:tblStyle w:val="49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0"/>
        <w:gridCol w:w="5400"/>
      </w:tblGrid>
      <w:tr w14:paraId="1E48766E"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4692B6E8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color w:val="auto"/>
                <w:sz w:val="28"/>
                <w:szCs w:val="28"/>
              </w:rPr>
              <w:t>项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63F5C9B7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color w:val="auto"/>
                <w:sz w:val="28"/>
                <w:szCs w:val="28"/>
              </w:rPr>
              <w:t>内容</w:t>
            </w:r>
          </w:p>
        </w:tc>
      </w:tr>
      <w:tr w14:paraId="2C4497A0"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EC59286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color w:val="auto"/>
                <w:sz w:val="28"/>
                <w:szCs w:val="28"/>
              </w:rPr>
              <w:t>阜矿集团联系人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44E70E4F">
            <w:pPr>
              <w:spacing w:after="0" w:line="240" w:lineRule="auto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 w:cs="宋体"/>
                <w:color w:val="auto"/>
                <w:sz w:val="28"/>
                <w:szCs w:val="28"/>
                <w:lang w:val="en-US" w:eastAsia="zh-CN"/>
              </w:rPr>
              <w:t>李红军</w:t>
            </w:r>
          </w:p>
        </w:tc>
      </w:tr>
      <w:tr w14:paraId="7A8BEAB6"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1A109250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color w:val="auto"/>
                <w:sz w:val="28"/>
                <w:szCs w:val="28"/>
              </w:rPr>
              <w:t>联系电话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420D572C">
            <w:pPr>
              <w:spacing w:after="0" w:line="240" w:lineRule="auto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 w:cs="宋体"/>
                <w:color w:val="auto"/>
                <w:sz w:val="28"/>
                <w:szCs w:val="28"/>
                <w:lang w:val="en-US" w:eastAsia="zh-CN"/>
              </w:rPr>
              <w:t>18102462011</w:t>
            </w:r>
          </w:p>
        </w:tc>
      </w:tr>
      <w:tr w14:paraId="04C5A04E"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472207C3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color w:val="auto"/>
                <w:sz w:val="28"/>
                <w:szCs w:val="28"/>
              </w:rPr>
              <w:t>邮箱 / 通讯方式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15D156E">
            <w:pPr>
              <w:spacing w:after="0" w:line="240" w:lineRule="auto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 w:cs="宋体"/>
                <w:color w:val="auto"/>
                <w:sz w:val="28"/>
                <w:szCs w:val="28"/>
                <w:lang w:val="en-US" w:eastAsia="zh-CN"/>
              </w:rPr>
              <w:t>lihongjun@fxkyjt.cn</w:t>
            </w:r>
          </w:p>
        </w:tc>
      </w:tr>
      <w:tr w14:paraId="08164785"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E3A02C3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color w:val="auto"/>
                <w:sz w:val="28"/>
                <w:szCs w:val="28"/>
              </w:rPr>
              <w:t>NC 侧回函联系人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261EB07F">
            <w:pPr>
              <w:spacing w:after="0" w:line="240" w:lineRule="auto"/>
              <w:rPr>
                <w:color w:val="auto"/>
              </w:rPr>
            </w:pPr>
          </w:p>
        </w:tc>
      </w:tr>
      <w:tr w14:paraId="04378E63"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7D7BB806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color w:val="auto"/>
                <w:sz w:val="28"/>
                <w:szCs w:val="28"/>
              </w:rPr>
              <w:t>回函日期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1EDCFA59">
            <w:pPr>
              <w:spacing w:after="0" w:line="240" w:lineRule="auto"/>
              <w:rPr>
                <w:color w:val="auto"/>
              </w:rPr>
            </w:pPr>
          </w:p>
        </w:tc>
      </w:tr>
    </w:tbl>
    <w:p w14:paraId="63CD0A82">
      <w:pPr>
        <w:pStyle w:val="4"/>
        <w:keepNext/>
        <w:jc w:val="left"/>
        <w:rPr>
          <w:color w:val="auto"/>
        </w:rPr>
      </w:pPr>
      <w:r>
        <w:rPr>
          <w:rFonts w:ascii="宋体" w:hAnsi="宋体" w:eastAsia="宋体" w:cs="宋体"/>
          <w:b/>
          <w:color w:val="auto"/>
          <w:sz w:val="28"/>
          <w:szCs w:val="28"/>
        </w:rPr>
        <w:t>六、版本沿革</w:t>
      </w:r>
    </w:p>
    <w:tbl>
      <w:tblPr>
        <w:tblStyle w:val="49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3600"/>
        <w:gridCol w:w="3600"/>
      </w:tblGrid>
      <w:tr w14:paraId="4505F8D2">
        <w:tc>
          <w:tcPr>
            <w:tcW w:w="3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BD18851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color w:val="auto"/>
                <w:sz w:val="28"/>
                <w:szCs w:val="28"/>
              </w:rPr>
              <w:t>版本</w:t>
            </w:r>
          </w:p>
        </w:tc>
        <w:tc>
          <w:tcPr>
            <w:tcW w:w="3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540BD15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color w:val="auto"/>
                <w:sz w:val="28"/>
                <w:szCs w:val="28"/>
              </w:rPr>
              <w:t>日期</w:t>
            </w:r>
          </w:p>
        </w:tc>
        <w:tc>
          <w:tcPr>
            <w:tcW w:w="3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BC015C2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color w:val="auto"/>
                <w:sz w:val="28"/>
                <w:szCs w:val="28"/>
              </w:rPr>
              <w:t>变更</w:t>
            </w:r>
          </w:p>
        </w:tc>
      </w:tr>
      <w:tr w14:paraId="40B499E9">
        <w:tc>
          <w:tcPr>
            <w:tcW w:w="3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57C84E3A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color w:val="auto"/>
                <w:sz w:val="28"/>
                <w:szCs w:val="28"/>
              </w:rPr>
              <w:t>V0.1</w:t>
            </w:r>
          </w:p>
        </w:tc>
        <w:tc>
          <w:tcPr>
            <w:tcW w:w="3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796DDF1F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color w:val="auto"/>
                <w:sz w:val="28"/>
                <w:szCs w:val="28"/>
              </w:rPr>
              <w:t>2026-05-13</w:t>
            </w:r>
          </w:p>
        </w:tc>
        <w:tc>
          <w:tcPr>
            <w:tcW w:w="3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sz="4" w:space="0"/>
              <w:insideV w:val="single" w:sz="4" w:space="0"/>
            </w:tcBorders>
          </w:tcPr>
          <w:p w14:paraId="1E8A09FD">
            <w:pPr>
              <w:spacing w:after="0" w:line="240" w:lineRule="auto"/>
              <w:rPr>
                <w:color w:val="auto"/>
              </w:rPr>
            </w:pPr>
            <w:r>
              <w:rPr>
                <w:rFonts w:ascii="宋体" w:hAnsi="宋体" w:eastAsia="宋体" w:cs="宋体"/>
                <w:color w:val="auto"/>
                <w:sz w:val="28"/>
                <w:szCs w:val="28"/>
              </w:rPr>
              <w:t>首版。作为代表阜矿集团发给用友 / NC 团队的对外接口能力确认函，只提炼需 NC 确认 / 提供的通用财务接口能力，覆盖集团物资、人资、销售等业务系统的财务交互需求，</w:t>
            </w:r>
            <w:r>
              <w:rPr>
                <w:rFonts w:ascii="宋体" w:hAnsi="宋体" w:eastAsia="宋体" w:cs="宋体"/>
                <w:b/>
                <w:color w:val="auto"/>
                <w:sz w:val="28"/>
                <w:szCs w:val="28"/>
              </w:rPr>
              <w:t>不针对任何单一业务系统</w:t>
            </w:r>
            <w:r>
              <w:rPr>
                <w:rFonts w:ascii="宋体" w:hAnsi="宋体" w:eastAsia="宋体" w:cs="宋体"/>
                <w:color w:val="auto"/>
                <w:sz w:val="28"/>
                <w:szCs w:val="28"/>
              </w:rPr>
              <w:t>。</w:t>
            </w:r>
          </w:p>
        </w:tc>
      </w:tr>
    </w:tbl>
    <w:p w14:paraId="4706AC39">
      <w:pPr>
        <w:rPr>
          <w:color w:val="auto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823FE0">
    <w:pPr>
      <w:pStyle w:val="2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0B9D9F">
    <w:pPr>
      <w:pStyle w:val="2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D89DEC">
    <w:pPr>
      <w:pStyle w:val="2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B1AED0">
    <w:pPr>
      <w:pStyle w:val="2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89CC56">
    <w:pPr>
      <w:pStyle w:val="2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0AB7AA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FEF9F47"/>
    <w:rsid w:val="D7FE2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="宋体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  <w:rPr>
      <w:rFonts w:ascii="宋体" w:hAnsi="宋体" w:eastAsia="宋体" w:cs="宋体"/>
    </w:rPr>
  </w:style>
  <w:style w:type="table" w:default="1" w:styleId="32">
    <w:name w:val="Normal Table"/>
    <w:semiHidden/>
    <w:unhideWhenUsed/>
    <w:uiPriority w:val="99"/>
    <w:rPr>
      <w:rFonts w:ascii="宋体" w:hAnsi="宋体" w:eastAsia="宋体" w:cs="宋体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宋体" w:hAnsi="宋体" w:eastAsia="宋体" w:cs="宋体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  <w:rPr>
      <w:rFonts w:ascii="宋体" w:hAnsi="宋体" w:eastAsia="宋体" w:cs="宋体"/>
    </w:r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  <w:rPr>
      <w:rFonts w:ascii="宋体" w:hAnsi="宋体" w:eastAsia="宋体" w:cs="宋体"/>
    </w:r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宋体" w:hAnsi="宋体" w:eastAsia="宋体" w:cs="宋体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="宋体" w:hAnsi="宋体" w:eastAsia="宋体" w:cs="宋体"/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宋体" w:hAnsi="宋体" w:eastAsia="宋体" w:cs="宋体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rFonts w:ascii="宋体" w:hAnsi="宋体" w:eastAsia="宋体" w:cs="宋体"/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  <w:rPr>
      <w:rFonts w:ascii="宋体" w:hAnsi="宋体" w:eastAsia="宋体" w:cs="宋体"/>
    </w:rPr>
  </w:style>
  <w:style w:type="paragraph" w:styleId="19">
    <w:name w:val="Body Text"/>
    <w:basedOn w:val="1"/>
    <w:link w:val="144"/>
    <w:unhideWhenUsed/>
    <w:uiPriority w:val="99"/>
    <w:pPr>
      <w:spacing w:after="120"/>
    </w:pPr>
    <w:rPr>
      <w:rFonts w:ascii="宋体" w:hAnsi="宋体" w:eastAsia="宋体" w:cs="宋体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  <w:rPr>
      <w:rFonts w:ascii="宋体" w:hAnsi="宋体" w:eastAsia="宋体" w:cs="宋体"/>
    </w:rPr>
  </w:style>
  <w:style w:type="paragraph" w:styleId="21">
    <w:name w:val="List 2"/>
    <w:basedOn w:val="1"/>
    <w:unhideWhenUsed/>
    <w:uiPriority w:val="99"/>
    <w:pPr>
      <w:ind w:left="720" w:hanging="360"/>
      <w:contextualSpacing/>
    </w:pPr>
    <w:rPr>
      <w:rFonts w:ascii="宋体" w:hAnsi="宋体" w:eastAsia="宋体" w:cs="宋体"/>
    </w:r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  <w:rPr>
      <w:rFonts w:ascii="宋体" w:hAnsi="宋体" w:eastAsia="宋体" w:cs="宋体"/>
    </w:r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  <w:rPr>
      <w:rFonts w:ascii="宋体" w:hAnsi="宋体" w:eastAsia="宋体" w:cs="宋体"/>
    </w:r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</w:r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</w:r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  <w:rPr>
      <w:rFonts w:ascii="宋体" w:hAnsi="宋体" w:eastAsia="宋体" w:cs="宋体"/>
    </w:r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  <w:rPr>
      <w:rFonts w:ascii="宋体" w:hAnsi="宋体" w:eastAsia="宋体" w:cs="宋体"/>
    </w:r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  <w:rPr>
      <w:rFonts w:ascii="宋体" w:hAnsi="宋体" w:eastAsia="宋体" w:cs="宋体"/>
    </w:r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  <w:rPr>
      <w:rFonts w:ascii="宋体" w:hAnsi="宋体" w:eastAsia="宋体" w:cs="宋体"/>
    </w:r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rPr>
      <w:rFonts w:ascii="宋体" w:hAnsi="宋体" w:eastAsia="宋体" w:cs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rFonts w:ascii="宋体" w:hAnsi="宋体" w:eastAsia="宋体" w:cs="宋体"/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rFonts w:ascii="宋体" w:hAnsi="宋体" w:eastAsia="宋体" w:cs="宋体"/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rFonts w:ascii="宋体" w:hAnsi="宋体" w:eastAsia="宋体" w:cs="宋体"/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rFonts w:ascii="宋体" w:hAnsi="宋体" w:eastAsia="宋体" w:cs="宋体"/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rFonts w:ascii="宋体" w:hAnsi="宋体" w:eastAsia="宋体" w:cs="宋体"/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rFonts w:ascii="宋体" w:hAnsi="宋体" w:eastAsia="宋体" w:cs="宋体"/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rFonts w:ascii="宋体" w:hAnsi="宋体" w:eastAsia="宋体" w:cs="宋体"/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rPr>
      <w:rFonts w:ascii="宋体" w:hAnsi="宋体" w:eastAsia="宋体" w:cs="宋体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rPr>
      <w:rFonts w:ascii="宋体" w:hAnsi="宋体" w:eastAsia="宋体" w:cs="宋体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rPr>
      <w:rFonts w:ascii="宋体" w:hAnsi="宋体" w:eastAsia="宋体" w:cs="宋体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rPr>
      <w:rFonts w:ascii="宋体" w:hAnsi="宋体" w:eastAsia="宋体" w:cs="宋体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rPr>
      <w:rFonts w:ascii="宋体" w:hAnsi="宋体" w:eastAsia="宋体" w:cs="宋体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rPr>
      <w:rFonts w:ascii="宋体" w:hAnsi="宋体" w:eastAsia="宋体" w:cs="宋体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rPr>
      <w:rFonts w:ascii="宋体" w:hAnsi="宋体" w:eastAsia="宋体" w:cs="宋体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rPr>
      <w:rFonts w:ascii="宋体" w:hAnsi="宋体" w:eastAsia="宋体" w:cs="宋体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rPr>
      <w:rFonts w:ascii="宋体" w:hAnsi="宋体" w:eastAsia="宋体" w:cs="宋体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rPr>
      <w:rFonts w:ascii="宋体" w:hAnsi="宋体" w:eastAsia="宋体" w:cs="宋体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rPr>
      <w:rFonts w:ascii="宋体" w:hAnsi="宋体" w:eastAsia="宋体" w:cs="宋体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rPr>
      <w:rFonts w:ascii="宋体" w:hAnsi="宋体" w:eastAsia="宋体" w:cs="宋体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rPr>
      <w:rFonts w:ascii="宋体" w:hAnsi="宋体" w:eastAsia="宋体" w:cs="宋体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rPr>
      <w:rFonts w:ascii="宋体" w:hAnsi="宋体" w:eastAsia="宋体" w:cs="宋体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rPr>
      <w:rFonts w:ascii="宋体" w:hAnsi="宋体" w:eastAsia="宋体" w:cs="宋体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rPr>
      <w:rFonts w:ascii="宋体" w:hAnsi="宋体" w:eastAsia="宋体" w:cs="宋体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rPr>
      <w:rFonts w:ascii="宋体" w:hAnsi="宋体" w:eastAsia="宋体" w:cs="宋体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rPr>
      <w:rFonts w:ascii="宋体" w:hAnsi="宋体" w:eastAsia="宋体" w:cs="宋体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rPr>
      <w:rFonts w:ascii="宋体" w:hAnsi="宋体" w:eastAsia="宋体" w:cs="宋体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rPr>
      <w:rFonts w:ascii="宋体" w:hAnsi="宋体" w:eastAsia="宋体" w:cs="宋体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rPr>
      <w:rFonts w:ascii="宋体" w:hAnsi="宋体" w:eastAsia="宋体" w:cs="宋体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rPr>
      <w:rFonts w:ascii="宋体" w:hAnsi="宋体" w:eastAsia="宋体" w:cs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rPr>
      <w:rFonts w:ascii="宋体" w:hAnsi="宋体" w:eastAsia="宋体" w:cs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rPr>
      <w:rFonts w:ascii="宋体" w:hAnsi="宋体" w:eastAsia="宋体" w:cs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rPr>
      <w:rFonts w:ascii="宋体" w:hAnsi="宋体" w:eastAsia="宋体" w:cs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rPr>
      <w:rFonts w:ascii="宋体" w:hAnsi="宋体" w:eastAsia="宋体" w:cs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rPr>
      <w:rFonts w:ascii="宋体" w:hAnsi="宋体" w:eastAsia="宋体" w:cs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rPr>
      <w:rFonts w:ascii="宋体" w:hAnsi="宋体" w:eastAsia="宋体" w:cs="宋体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rPr>
      <w:rFonts w:ascii="宋体" w:hAnsi="宋体" w:eastAsia="宋体" w:cs="宋体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rPr>
      <w:rFonts w:ascii="宋体" w:hAnsi="宋体" w:eastAsia="宋体" w:cs="宋体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rPr>
      <w:rFonts w:ascii="宋体" w:hAnsi="宋体" w:eastAsia="宋体" w:cs="宋体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rPr>
      <w:rFonts w:ascii="宋体" w:hAnsi="宋体" w:eastAsia="宋体" w:cs="宋体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rPr>
      <w:rFonts w:ascii="宋体" w:hAnsi="宋体" w:eastAsia="宋体" w:cs="宋体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rPr>
      <w:rFonts w:ascii="宋体" w:hAnsi="宋体" w:eastAsia="宋体" w:cs="宋体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rPr>
      <w:rFonts w:ascii="宋体" w:hAnsi="宋体" w:eastAsia="宋体" w:cs="宋体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rPr>
      <w:rFonts w:ascii="宋体" w:hAnsi="宋体" w:eastAsia="宋体" w:cs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rPr>
      <w:rFonts w:ascii="宋体" w:hAnsi="宋体" w:eastAsia="宋体" w:cs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rPr>
      <w:rFonts w:ascii="宋体" w:hAnsi="宋体" w:eastAsia="宋体" w:cs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rPr>
      <w:rFonts w:ascii="宋体" w:hAnsi="宋体" w:eastAsia="宋体" w:cs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rPr>
      <w:rFonts w:ascii="宋体" w:hAnsi="宋体" w:eastAsia="宋体" w:cs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rPr>
      <w:rFonts w:ascii="宋体" w:hAnsi="宋体" w:eastAsia="宋体" w:cs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rPr>
      <w:rFonts w:ascii="宋体" w:hAnsi="宋体" w:eastAsia="宋体" w:cs="宋体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rFonts w:ascii="宋体" w:hAnsi="宋体" w:eastAsia="宋体" w:cs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rFonts w:ascii="宋体" w:hAnsi="宋体" w:eastAsia="宋体" w:cs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rFonts w:ascii="宋体" w:hAnsi="宋体" w:eastAsia="宋体" w:cs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rFonts w:ascii="宋体" w:hAnsi="宋体" w:eastAsia="宋体" w:cs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rFonts w:ascii="宋体" w:hAnsi="宋体" w:eastAsia="宋体" w:cs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rFonts w:ascii="宋体" w:hAnsi="宋体" w:eastAsia="宋体" w:cs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rFonts w:ascii="宋体" w:hAnsi="宋体" w:eastAsia="宋体" w:cs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rFonts w:ascii="宋体" w:hAnsi="宋体" w:eastAsia="宋体" w:cs="宋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rFonts w:ascii="宋体" w:hAnsi="宋体" w:eastAsia="宋体" w:cs="宋体"/>
      <w:b/>
      <w:bCs/>
    </w:rPr>
  </w:style>
  <w:style w:type="character" w:styleId="134">
    <w:name w:val="Emphasis"/>
    <w:basedOn w:val="132"/>
    <w:qFormat/>
    <w:uiPriority w:val="20"/>
    <w:rPr>
      <w:rFonts w:ascii="宋体" w:hAnsi="宋体" w:eastAsia="宋体" w:cs="宋体"/>
      <w:i/>
      <w:iCs/>
    </w:rPr>
  </w:style>
  <w:style w:type="character" w:customStyle="1" w:styleId="135">
    <w:name w:val="Header Char"/>
    <w:basedOn w:val="132"/>
    <w:link w:val="25"/>
    <w:uiPriority w:val="99"/>
    <w:rPr>
      <w:rFonts w:ascii="宋体" w:hAnsi="宋体" w:eastAsia="宋体" w:cs="宋体"/>
    </w:rPr>
  </w:style>
  <w:style w:type="character" w:customStyle="1" w:styleId="136">
    <w:name w:val="Footer Char"/>
    <w:basedOn w:val="132"/>
    <w:link w:val="24"/>
    <w:uiPriority w:val="99"/>
    <w:rPr>
      <w:rFonts w:ascii="宋体" w:hAnsi="宋体" w:eastAsia="宋体" w:cs="宋体"/>
    </w:rPr>
  </w:style>
  <w:style w:type="paragraph" w:styleId="137">
    <w:name w:val="No Spacing"/>
    <w:qFormat/>
    <w:uiPriority w:val="1"/>
    <w:pPr>
      <w:spacing w:after="0" w:line="240" w:lineRule="auto"/>
    </w:pPr>
    <w:rPr>
      <w:rFonts w:ascii="宋体" w:hAnsi="宋体" w:eastAsia="宋体" w:cs="宋体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  <w:rPr>
      <w:rFonts w:ascii="宋体" w:hAnsi="宋体" w:eastAsia="宋体" w:cs="宋体"/>
    </w:rPr>
  </w:style>
  <w:style w:type="character" w:customStyle="1" w:styleId="144">
    <w:name w:val="Body Text Char"/>
    <w:basedOn w:val="132"/>
    <w:link w:val="19"/>
    <w:uiPriority w:val="99"/>
    <w:rPr>
      <w:rFonts w:ascii="宋体" w:hAnsi="宋体" w:eastAsia="宋体" w:cs="宋体"/>
    </w:rPr>
  </w:style>
  <w:style w:type="character" w:customStyle="1" w:styleId="145">
    <w:name w:val="Body Text 2 Char"/>
    <w:basedOn w:val="132"/>
    <w:link w:val="28"/>
    <w:uiPriority w:val="99"/>
    <w:rPr>
      <w:rFonts w:ascii="宋体" w:hAnsi="宋体" w:eastAsia="宋体" w:cs="宋体"/>
    </w:rPr>
  </w:style>
  <w:style w:type="character" w:customStyle="1" w:styleId="146">
    <w:name w:val="Body Text 3 Char"/>
    <w:basedOn w:val="132"/>
    <w:link w:val="17"/>
    <w:uiPriority w:val="99"/>
    <w:rPr>
      <w:rFonts w:ascii="宋体" w:hAnsi="宋体" w:eastAsia="宋体" w:cs="宋体"/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宋体" w:hAnsi="宋体" w:eastAsia="宋体" w:cs="宋体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rFonts w:ascii="宋体" w:hAnsi="宋体" w:eastAsia="宋体" w:cs="宋体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rFonts w:ascii="宋体" w:hAnsi="宋体" w:eastAsia="宋体" w:cs="宋体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rFonts w:ascii="宋体" w:hAnsi="宋体" w:eastAsia="宋体" w:cs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rFonts w:ascii="宋体" w:hAnsi="宋体" w:eastAsia="宋体" w:cs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rFonts w:ascii="宋体" w:hAnsi="宋体" w:eastAsia="宋体" w:cs="宋体"/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rFonts w:ascii="宋体" w:hAnsi="宋体" w:eastAsia="宋体" w:cs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rFonts w:ascii="宋体" w:hAnsi="宋体" w:eastAsia="宋体" w:cs="宋体"/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rFonts w:ascii="宋体" w:hAnsi="宋体" w:eastAsia="宋体" w:cs="宋体"/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rFonts w:ascii="宋体" w:hAnsi="宋体" w:eastAsia="宋体" w:cs="宋体"/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  <w:rPr>
      <w:rFonts w:ascii="宋体" w:hAnsi="宋体" w:eastAsia="宋体" w:cs="宋体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Someone1416062663</cp:lastModifiedBy>
  <dcterms:modified xsi:type="dcterms:W3CDTF">2026-05-13T09:24:36Z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F59FE4916A14DCF16DCE036AF4772D5F_42</vt:lpwstr>
  </property>
</Properties>
</file>