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jc w:val="left"/>
      </w:pPr>
      <w:r>
        <w:rPr>
          <w:rFonts w:ascii="宋体" w:hAnsi="宋体" w:eastAsia="宋体" w:cs="宋体"/>
          <w:b/>
          <w:sz w:val="40"/>
          <w:szCs w:val="40"/>
        </w:rPr>
        <w:t>物资供应管理系统概要设计总览（V0.1）</w:t>
      </w:r>
    </w:p>
    <w:p>
      <w:r>
        <w:rPr>
          <w:rFonts w:ascii="宋体" w:hAnsi="宋体" w:eastAsia="宋体" w:cs="宋体"/>
          <w:b/>
          <w:sz w:val="28"/>
          <w:szCs w:val="28"/>
        </w:rPr>
        <w:t>版本：</w:t>
      </w:r>
      <w:r>
        <w:rPr>
          <w:rFonts w:ascii="宋体" w:hAnsi="宋体" w:eastAsia="宋体" w:cs="宋体"/>
          <w:sz w:val="28"/>
          <w:szCs w:val="28"/>
        </w:rPr>
        <w:t xml:space="preserve"> V0.1</w:t>
      </w:r>
    </w:p>
    <w:p>
      <w:r>
        <w:rPr>
          <w:rFonts w:ascii="宋体" w:hAnsi="宋体" w:eastAsia="宋体" w:cs="宋体"/>
          <w:b/>
          <w:sz w:val="28"/>
          <w:szCs w:val="28"/>
        </w:rPr>
        <w:t>日期：</w:t>
      </w:r>
      <w:r>
        <w:rPr>
          <w:rFonts w:ascii="宋体" w:hAnsi="宋体" w:eastAsia="宋体" w:cs="宋体"/>
          <w:sz w:val="28"/>
          <w:szCs w:val="28"/>
        </w:rPr>
        <w:t xml:space="preserve"> 2026-04-24</w:t>
      </w:r>
    </w:p>
    <w:p>
      <w:r>
        <w:rPr>
          <w:rFonts w:ascii="宋体" w:hAnsi="宋体" w:eastAsia="宋体" w:cs="宋体"/>
          <w:b/>
          <w:sz w:val="28"/>
          <w:szCs w:val="28"/>
        </w:rPr>
        <w:t>编制依据：</w:t>
      </w:r>
      <w:r>
        <w:rPr>
          <w:rFonts w:ascii="宋体" w:hAnsi="宋体" w:eastAsia="宋体" w:cs="宋体"/>
          <w:sz w:val="28"/>
          <w:szCs w:val="28"/>
        </w:rPr>
        <w:t xml:space="preserve"> 需求梳理 V1.0、招标文件 V1.1、集团统一建设原则 V2.0、详细规则文档</w:t>
      </w:r>
    </w:p>
    <w:p>
      <w:r>
        <w:rPr>
          <w:rFonts w:ascii="宋体" w:hAnsi="宋体" w:eastAsia="宋体" w:cs="宋体"/>
          <w:b/>
          <w:sz w:val="28"/>
          <w:szCs w:val="28"/>
        </w:rPr>
        <w:t>文档性质：</w:t>
      </w:r>
      <w:r>
        <w:rPr>
          <w:rFonts w:ascii="宋体" w:hAnsi="宋体" w:eastAsia="宋体" w:cs="宋体"/>
          <w:sz w:val="28"/>
          <w:szCs w:val="28"/>
        </w:rPr>
        <w:t xml:space="preserve"> 概要设计阶段总览与边界控制文件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一、文档目的</w:t>
      </w:r>
    </w:p>
    <w:p>
      <w:r>
        <w:rPr>
          <w:rFonts w:ascii="宋体" w:hAnsi="宋体" w:eastAsia="宋体" w:cs="宋体"/>
          <w:sz w:val="28"/>
          <w:szCs w:val="28"/>
        </w:rPr>
        <w:t>本文档用于承接前期需求梳理和招标 V1.1 成果，形成物资供应管理系统概要设计阶段的总体框架。</w:t>
      </w:r>
    </w:p>
    <w:p>
      <w:r>
        <w:rPr>
          <w:rFonts w:ascii="宋体" w:hAnsi="宋体" w:eastAsia="宋体" w:cs="宋体"/>
          <w:sz w:val="28"/>
          <w:szCs w:val="28"/>
        </w:rPr>
        <w:t>本文档重点回答：</w:t>
      </w:r>
    </w:p>
    <w:p>
      <w:r>
        <w:rPr>
          <w:rFonts w:ascii="宋体" w:hAnsi="宋体" w:eastAsia="宋体" w:cs="宋体"/>
          <w:sz w:val="28"/>
          <w:szCs w:val="28"/>
        </w:rPr>
        <w:t>- 系统总体边界是什么</w:t>
      </w:r>
    </w:p>
    <w:p>
      <w:r>
        <w:rPr>
          <w:rFonts w:ascii="宋体" w:hAnsi="宋体" w:eastAsia="宋体" w:cs="宋体"/>
          <w:sz w:val="28"/>
          <w:szCs w:val="28"/>
        </w:rPr>
        <w:t>- 一期系统由哪些能力域和模块组成</w:t>
      </w:r>
    </w:p>
    <w:p>
      <w:r>
        <w:rPr>
          <w:rFonts w:ascii="宋体" w:hAnsi="宋体" w:eastAsia="宋体" w:cs="宋体"/>
          <w:sz w:val="28"/>
          <w:szCs w:val="28"/>
        </w:rPr>
        <w:t>- 业务、数据、接口、权限和部署之间如何组织</w:t>
      </w:r>
    </w:p>
    <w:p>
      <w:r>
        <w:rPr>
          <w:rFonts w:ascii="宋体" w:hAnsi="宋体" w:eastAsia="宋体" w:cs="宋体"/>
          <w:sz w:val="28"/>
          <w:szCs w:val="28"/>
        </w:rPr>
        <w:t>- 哪些内容属于概要设计阶段应明确的事项</w:t>
      </w:r>
    </w:p>
    <w:p>
      <w:r>
        <w:rPr>
          <w:rFonts w:ascii="宋体" w:hAnsi="宋体" w:eastAsia="宋体" w:cs="宋体"/>
          <w:sz w:val="28"/>
          <w:szCs w:val="28"/>
        </w:rPr>
        <w:t>- 哪些内容应留到详细设计、实施配置或联调阶段进一步确定</w:t>
      </w:r>
    </w:p>
    <w:p>
      <w:r>
        <w:rPr>
          <w:rFonts w:ascii="宋体" w:hAnsi="宋体" w:eastAsia="宋体" w:cs="宋体"/>
          <w:sz w:val="28"/>
          <w:szCs w:val="28"/>
        </w:rPr>
        <w:t>本文档不是详细设计文档，不直接固化数据库表结构、接口字段、页面原型和审批流最终配置。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1.1 文档权威边界</w:t>
      </w:r>
    </w:p>
    <w:p>
      <w:r>
        <w:rPr>
          <w:rFonts w:ascii="宋体" w:hAnsi="宋体" w:eastAsia="宋体" w:cs="宋体"/>
          <w:sz w:val="28"/>
          <w:szCs w:val="28"/>
        </w:rPr>
        <w:t>概要设计分卷允许保留必要上下文，但应避免多处维护同一细节。各专题的权威边界如下：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主题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权威文档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其他文档处理方式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总体边界、设计输入、分卷顺序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`00-概要设计总览-v0.1.md`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其他文档只引用，不重复展开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总体架构、部署、外部系统集成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`01-总体架构与集成边界-v0.1.md`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总览只保留边界摘要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一期 15 个业务模块职责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`02-业务模块概要设计-v0.1.md`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总览只做能力域归并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主数据、编码、权威来源、NC 映射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`03-主数据与编码概要设计-v0.1.md`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模块文档只说明职责，不展开编码细则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权限、审批、审计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`04-权限审批与审计概要设计-v0.1.md`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总览只保留总体原则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 接口、状态、对账、封账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`05-NC接口与对账概要设计-v0.1.md`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总览只保留架构和范围口径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二、设计输入</w:t>
      </w:r>
    </w:p>
    <w:p>
      <w:r>
        <w:rPr>
          <w:rFonts w:ascii="宋体" w:hAnsi="宋体" w:eastAsia="宋体" w:cs="宋体"/>
          <w:sz w:val="28"/>
          <w:szCs w:val="28"/>
        </w:rPr>
        <w:t>概要设计以现有文档体系为输入，按以下优先级理解和使用。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层级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主要文档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对概要设计的作用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集团统筹层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`docs/集团统筹/集团业务系统统一建设原则-V2.0.md`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约束统一权限、SSO、平台 API、独立数据库、AI 入口、信创和运维审计要求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招标正式文本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`docs/招标/物资供应管理系统招标技术要求-v1.1.md` 及附件一至附件六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作为一期外部约束和设计范围基准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项目主文档层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`docs/需求梳理/01~11` 系列文档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提供项目背景、模块边界、流程单据、权限矩阵、实施路径和二期边界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详细规则层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`docs/详细规则/物资编码规范文档.md`、`docs/详细规则/物资管理与财务接口规范.md`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支撑主数据、编码、NC 映射、凭证规则、对账和联调设计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专项能力层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`docs/集团统筹/AI接入专题/物资管理系统/`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支撑统一 AI 入口能力开放和 Tool 化接口设计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三、概要设计阶段边界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3.1 本阶段应明确</w:t>
      </w:r>
    </w:p>
    <w:p>
      <w:r>
        <w:rPr>
          <w:rFonts w:ascii="宋体" w:hAnsi="宋体" w:eastAsia="宋体" w:cs="宋体"/>
          <w:sz w:val="28"/>
          <w:szCs w:val="28"/>
        </w:rPr>
        <w:t>- 系统总体架构与部署边界</w:t>
      </w:r>
    </w:p>
    <w:p>
      <w:r>
        <w:rPr>
          <w:rFonts w:ascii="宋体" w:hAnsi="宋体" w:eastAsia="宋体" w:cs="宋体"/>
          <w:sz w:val="28"/>
          <w:szCs w:val="28"/>
        </w:rPr>
        <w:t>- 一期模块划分和模块间关系</w:t>
      </w:r>
    </w:p>
    <w:p>
      <w:r>
        <w:rPr>
          <w:rFonts w:ascii="宋体" w:hAnsi="宋体" w:eastAsia="宋体" w:cs="宋体"/>
          <w:sz w:val="28"/>
          <w:szCs w:val="28"/>
        </w:rPr>
        <w:t>- 核心业务主线和关键状态流转</w:t>
      </w:r>
    </w:p>
    <w:p>
      <w:r>
        <w:rPr>
          <w:rFonts w:ascii="宋体" w:hAnsi="宋体" w:eastAsia="宋体" w:cs="宋体"/>
          <w:sz w:val="28"/>
          <w:szCs w:val="28"/>
        </w:rPr>
        <w:t>- 主数据、业务单据、接口日志、审计留痕等数据域划分</w:t>
      </w:r>
    </w:p>
    <w:p>
      <w:r>
        <w:rPr>
          <w:rFonts w:ascii="宋体" w:hAnsi="宋体" w:eastAsia="宋体" w:cs="宋体"/>
          <w:sz w:val="28"/>
          <w:szCs w:val="28"/>
        </w:rPr>
        <w:t>- 与 Nova Platform、NC 财务系统、能源集团招采平台、统一 AI 平台的集成边界</w:t>
      </w:r>
    </w:p>
    <w:p>
      <w:r>
        <w:rPr>
          <w:rFonts w:ascii="宋体" w:hAnsi="宋体" w:eastAsia="宋体" w:cs="宋体"/>
          <w:sz w:val="28"/>
          <w:szCs w:val="28"/>
        </w:rPr>
        <w:t>- 权限、审批、数据隔离、日志审计的总体模型</w:t>
      </w:r>
    </w:p>
    <w:p>
      <w:r>
        <w:rPr>
          <w:rFonts w:ascii="宋体" w:hAnsi="宋体" w:eastAsia="宋体" w:cs="宋体"/>
          <w:sz w:val="28"/>
          <w:szCs w:val="28"/>
        </w:rPr>
        <w:t>- 信创数据库、私有化部署、接口规范和运维监控的总体要求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3.2 本阶段不固化</w:t>
      </w:r>
    </w:p>
    <w:p>
      <w:r>
        <w:rPr>
          <w:rFonts w:ascii="宋体" w:hAnsi="宋体" w:eastAsia="宋体" w:cs="宋体"/>
          <w:sz w:val="28"/>
          <w:szCs w:val="28"/>
        </w:rPr>
        <w:t>- 最终数据库物理表结构和字段类型</w:t>
      </w:r>
    </w:p>
    <w:p>
      <w:r>
        <w:rPr>
          <w:rFonts w:ascii="宋体" w:hAnsi="宋体" w:eastAsia="宋体" w:cs="宋体"/>
          <w:sz w:val="28"/>
          <w:szCs w:val="28"/>
        </w:rPr>
        <w:t>- 全量接口字段、报文枚举和错误码</w:t>
      </w:r>
    </w:p>
    <w:p>
      <w:r>
        <w:rPr>
          <w:rFonts w:ascii="宋体" w:hAnsi="宋体" w:eastAsia="宋体" w:cs="宋体"/>
          <w:sz w:val="28"/>
          <w:szCs w:val="28"/>
        </w:rPr>
        <w:t>- 页面原型、菜单层级和交互细节</w:t>
      </w:r>
    </w:p>
    <w:p>
      <w:r>
        <w:rPr>
          <w:rFonts w:ascii="宋体" w:hAnsi="宋体" w:eastAsia="宋体" w:cs="宋体"/>
          <w:sz w:val="28"/>
          <w:szCs w:val="28"/>
        </w:rPr>
        <w:t>- 审批流每个节点的最终人员配置</w:t>
      </w:r>
    </w:p>
    <w:p>
      <w:r>
        <w:rPr>
          <w:rFonts w:ascii="宋体" w:hAnsi="宋体" w:eastAsia="宋体" w:cs="宋体"/>
          <w:sz w:val="28"/>
          <w:szCs w:val="28"/>
        </w:rPr>
        <w:t>- 计量单位字典维护责任人清单</w:t>
      </w:r>
    </w:p>
    <w:p>
      <w:r>
        <w:rPr>
          <w:rFonts w:ascii="宋体" w:hAnsi="宋体" w:eastAsia="宋体" w:cs="宋体"/>
          <w:sz w:val="28"/>
          <w:szCs w:val="28"/>
        </w:rPr>
        <w:t>- 集团组织与 NC 核算组织的最终映射台账</w:t>
      </w:r>
    </w:p>
    <w:p>
      <w:r>
        <w:rPr>
          <w:rFonts w:ascii="宋体" w:hAnsi="宋体" w:eastAsia="宋体" w:cs="宋体"/>
          <w:sz w:val="28"/>
          <w:szCs w:val="28"/>
        </w:rPr>
        <w:t>- PDF、zip 等发标包交付形态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四、系统定位与边界</w:t>
      </w:r>
    </w:p>
    <w:p>
      <w:r>
        <w:rPr>
          <w:rFonts w:ascii="宋体" w:hAnsi="宋体" w:eastAsia="宋体" w:cs="宋体"/>
          <w:sz w:val="28"/>
          <w:szCs w:val="28"/>
        </w:rPr>
        <w:t>物资供应管理系统定位为集团物资业务平台，核心是以物资实物流转为主线，支撑需求计划、招投标协同、采购合同、入库出库、设备与设备租赁、资金计划、供应商、财务接口、报表预警和 AI 能力开放。</w:t>
      </w:r>
    </w:p>
    <w:p>
      <w:r>
        <w:rPr>
          <w:rFonts w:ascii="宋体" w:hAnsi="宋体" w:eastAsia="宋体" w:cs="宋体"/>
          <w:sz w:val="28"/>
          <w:szCs w:val="28"/>
        </w:rPr>
        <w:t>系统必须明确以下边界：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外部系统/平台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本系统边界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Nova Platform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使用其统一身份、组织、人员、权限和平台公共能力；本系统独立部署业务数据库，不与平台共库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 财务系统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本系统产生业务事实、接口状态和对账依据；NC 负责财务凭证、应付核算、实付款和总账处理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能源集团招采平台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本系统负责采购文件生成、导出/上传、结果导入和归档；公告、投标、开标、评标等过程以招采平台为主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统一 AI 平台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本系统开放受控业务接口和 Tool 能力；AI 平台不得直接访问本系统底层数据库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后续资产系统或集团统一编码体系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一期预留关联字段、映射关系和扩展接口，不要求一期直接替代或全面落地</w:t>
            </w:r>
          </w:p>
        </w:tc>
      </w:tr>
    </w:tbl>
    <w:p>
      <w:pPr>
        <w:pStyle w:val="Heading2"/>
        <w:keepNext/>
        <w:spacing w:after="0"/>
        <w:jc w:val="left"/>
      </w:pPr>
      <w:r>
        <w:rPr>
          <w:rFonts w:ascii="宋体" w:hAnsi="宋体" w:eastAsia="宋体" w:cs="宋体"/>
          <w:b/>
          <w:sz w:val="28"/>
          <w:szCs w:val="28"/>
        </w:rPr>
        <w:t>五、总体架构</w:t>
      </w:r>
    </w:p>
    <w:p>
      <w:pPr>
        <w:keepNext/>
        <w:spacing w:after="0"/>
      </w:pPr>
      <w:r>
        <w:rPr>
          <w:rFonts w:ascii="宋体" w:hAnsi="宋体" w:eastAsia="宋体" w:cs="宋体"/>
          <w:sz w:val="28"/>
          <w:szCs w:val="28"/>
        </w:rPr>
        <w:t>系统概要架构建议按“入口层、业务能力层、数据与规则层、集成层、支撑层”组织。</w:t>
      </w:r>
    </w:p>
    <w:p>
      <w:pPr>
        <w:keepLines/>
        <w:spacing w:before="0" w:after="0"/>
        <w:jc w:val="center"/>
      </w:pPr>
      <w:r>
        <w:rPr>
          <w:rFonts w:ascii="宋体" w:hAnsi="宋体" w:eastAsia="宋体" w:cs="宋体"/>
          <w:sz w:val="28"/>
          <w:szCs w:val="28"/>
        </w:rPr>
        <w:drawing>
          <wp:inline xmlns:a="http://schemas.openxmlformats.org/drawingml/2006/main" xmlns:pic="http://schemas.openxmlformats.org/drawingml/2006/picture">
            <wp:extent cx="6858000" cy="71711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171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5.1 入口层</w:t>
      </w:r>
    </w:p>
    <w:p>
      <w:r>
        <w:rPr>
          <w:rFonts w:ascii="宋体" w:hAnsi="宋体" w:eastAsia="宋体" w:cs="宋体"/>
          <w:sz w:val="28"/>
          <w:szCs w:val="28"/>
        </w:rPr>
        <w:t>- 业务人员通过 Web 或移动端办理需求提报、审批、入库、出库、盘点、处置等业务。</w:t>
      </w:r>
    </w:p>
    <w:p>
      <w:r>
        <w:rPr>
          <w:rFonts w:ascii="宋体" w:hAnsi="宋体" w:eastAsia="宋体" w:cs="宋体"/>
          <w:sz w:val="28"/>
          <w:szCs w:val="28"/>
        </w:rPr>
        <w:t>- 管理人员通过报表、预警和追溯查询查看集团、矿厂、仓库、供应商和合同维度数据。</w:t>
      </w:r>
    </w:p>
    <w:p>
      <w:r>
        <w:rPr>
          <w:rFonts w:ascii="宋体" w:hAnsi="宋体" w:eastAsia="宋体" w:cs="宋体"/>
          <w:sz w:val="28"/>
          <w:szCs w:val="28"/>
        </w:rPr>
        <w:t>- 统一 AI 平台通过受控 API 和 Tool 调用查询能力，不直接访问数据库。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5.2 业务能力层</w:t>
      </w:r>
    </w:p>
    <w:p>
      <w:r>
        <w:rPr>
          <w:rFonts w:ascii="宋体" w:hAnsi="宋体" w:eastAsia="宋体" w:cs="宋体"/>
          <w:sz w:val="28"/>
          <w:szCs w:val="28"/>
        </w:rPr>
        <w:t>业务能力层承载一期 15 个模块，重点保证“计划到合同、合同到库存、库存到财务、财务到对账”的闭环。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5.3 数据与规则层</w:t>
      </w:r>
    </w:p>
    <w:p>
      <w:r>
        <w:rPr>
          <w:rFonts w:ascii="宋体" w:hAnsi="宋体" w:eastAsia="宋体" w:cs="宋体"/>
          <w:sz w:val="28"/>
          <w:szCs w:val="28"/>
        </w:rPr>
        <w:t>数据与规则层统一管理主数据、业务单据、库存台账、设备台账、合同台账、接口日志、对账记录、审批意见和操作日志。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5.4 集成层</w:t>
      </w:r>
    </w:p>
    <w:p>
      <w:r>
        <w:rPr>
          <w:rFonts w:ascii="宋体" w:hAnsi="宋体" w:eastAsia="宋体" w:cs="宋体"/>
          <w:sz w:val="28"/>
          <w:szCs w:val="28"/>
        </w:rPr>
        <w:t>集成层统一采用 API + JSON 作为对外正式集成标准，内部可采用异步机制实现削峰、重试和解耦，但不改变对外接口标准。</w:t>
      </w:r>
    </w:p>
    <w:p>
      <w:pPr>
        <w:pStyle w:val="Heading3"/>
        <w:keepNext/>
        <w:jc w:val="left"/>
      </w:pPr>
      <w:r>
        <w:rPr>
          <w:rFonts w:ascii="宋体" w:hAnsi="宋体" w:eastAsia="宋体" w:cs="宋体"/>
          <w:b/>
          <w:sz w:val="32"/>
          <w:szCs w:val="32"/>
        </w:rPr>
        <w:t>5.5 支撑层</w:t>
      </w:r>
    </w:p>
    <w:p>
      <w:r>
        <w:rPr>
          <w:rFonts w:ascii="宋体" w:hAnsi="宋体" w:eastAsia="宋体" w:cs="宋体"/>
          <w:sz w:val="28"/>
          <w:szCs w:val="28"/>
        </w:rPr>
        <w:t>支撑层包括统一身份接入、角色权限、组织数据同步、审批流配置、参数配置、日志审计、运行监控和告警。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六、一期模块分组</w:t>
      </w:r>
    </w:p>
    <w:p>
      <w:r>
        <w:rPr>
          <w:rFonts w:ascii="宋体" w:hAnsi="宋体" w:eastAsia="宋体" w:cs="宋体"/>
          <w:sz w:val="28"/>
          <w:szCs w:val="28"/>
        </w:rPr>
        <w:t>一期 15 个模块在概要设计中建议按能力域归并，便于后续分卷编写。</w:t>
      </w:r>
    </w:p>
    <w:p>
      <w:r>
        <w:rPr>
          <w:rFonts w:ascii="宋体" w:hAnsi="宋体" w:eastAsia="宋体" w:cs="宋体"/>
          <w:sz w:val="28"/>
          <w:szCs w:val="28"/>
        </w:rPr>
        <w:t>本节只说明能力域归并，模块职责、上下游、关键对象和状态控制以 `02-业务模块概要设计-v0.1.md` 为准。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能力域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对应模块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概要设计关注点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基础底座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基础档案与组织仓库管理、物料主数据与编码管理、系统管理与基础支撑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组织、仓库、物料、供应商、成本中心、计量单位、权限、流程、日志、参数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计划与采购协同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需求提报与采购计划管理、招投标管理、供应商管理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需求来源、计划审批、采购方式分流、招采平台协同、供应商准入和结果回传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合同与资金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合同管理、资金计划管理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合同审批、付款条款、付款计划、月度预支付、付款进度、NC 实付回写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库存实物流转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采购到货与入库管理、库存领用与退料调拨管理、盘点与废旧处置管理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入库、质检、出库、退料、调拨、盘点、废旧处置、账实一致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设备与租赁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设备管理、设备租赁管理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设备台账、权属、状态、调拨、检修、报废、租赁计费、费用汇总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业财与管理分析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财务与NC接口管理、报表预警与查询分析、AI 能力开放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 接口、状态回执、幂等、对账、报表、预警、Tool 化查询</w:t>
            </w:r>
          </w:p>
        </w:tc>
      </w:tr>
    </w:tbl>
    <w:p>
      <w:pPr>
        <w:pStyle w:val="Heading2"/>
        <w:keepNext/>
        <w:spacing w:after="0"/>
        <w:jc w:val="left"/>
      </w:pPr>
      <w:r>
        <w:rPr>
          <w:rFonts w:ascii="宋体" w:hAnsi="宋体" w:eastAsia="宋体" w:cs="宋体"/>
          <w:b/>
          <w:sz w:val="28"/>
          <w:szCs w:val="28"/>
        </w:rPr>
        <w:t>七、核心业务主线</w:t>
      </w:r>
    </w:p>
    <w:p>
      <w:pPr>
        <w:keepNext/>
        <w:spacing w:after="0"/>
      </w:pPr>
      <w:r>
        <w:rPr>
          <w:rFonts w:ascii="宋体" w:hAnsi="宋体" w:eastAsia="宋体" w:cs="宋体"/>
          <w:sz w:val="28"/>
          <w:szCs w:val="28"/>
        </w:rPr>
        <w:t>一期系统核心业务主线如下：</w:t>
      </w:r>
    </w:p>
    <w:p>
      <w:pPr>
        <w:keepLines/>
        <w:spacing w:before="0" w:after="0"/>
        <w:jc w:val="center"/>
      </w:pPr>
      <w:r>
        <w:rPr>
          <w:rFonts w:ascii="宋体" w:hAnsi="宋体" w:eastAsia="宋体" w:cs="宋体"/>
          <w:sz w:val="28"/>
          <w:szCs w:val="28"/>
        </w:rPr>
        <w:drawing>
          <wp:inline xmlns:a="http://schemas.openxmlformats.org/drawingml/2006/main" xmlns:pic="http://schemas.openxmlformats.org/drawingml/2006/picture">
            <wp:extent cx="6858000" cy="14096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409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宋体" w:hAnsi="宋体" w:eastAsia="宋体" w:cs="宋体"/>
          <w:sz w:val="28"/>
          <w:szCs w:val="28"/>
        </w:rPr>
        <w:t>核心设计原则：</w:t>
      </w:r>
    </w:p>
    <w:p>
      <w:r>
        <w:rPr>
          <w:rFonts w:ascii="宋体" w:hAnsi="宋体" w:eastAsia="宋体" w:cs="宋体"/>
          <w:sz w:val="28"/>
          <w:szCs w:val="28"/>
        </w:rPr>
        <w:t>- 所有业务单据必须能够追溯到来源、审批、执行和接口状态。</w:t>
      </w:r>
    </w:p>
    <w:p>
      <w:r>
        <w:rPr>
          <w:rFonts w:ascii="宋体" w:hAnsi="宋体" w:eastAsia="宋体" w:cs="宋体"/>
          <w:sz w:val="28"/>
          <w:szCs w:val="28"/>
        </w:rPr>
        <w:t>- 库存变化必须由合法业务单据驱动。</w:t>
      </w:r>
    </w:p>
    <w:p>
      <w:r>
        <w:rPr>
          <w:rFonts w:ascii="宋体" w:hAnsi="宋体" w:eastAsia="宋体" w:cs="宋体"/>
          <w:sz w:val="28"/>
          <w:szCs w:val="28"/>
        </w:rPr>
        <w:t>- 财务接口必须以审核通过后的业务事实为依据。</w:t>
      </w:r>
    </w:p>
    <w:p>
      <w:r>
        <w:rPr>
          <w:rFonts w:ascii="宋体" w:hAnsi="宋体" w:eastAsia="宋体" w:cs="宋体"/>
          <w:sz w:val="28"/>
          <w:szCs w:val="28"/>
        </w:rPr>
        <w:t>- 已结账期间的业务调整必须走受控补录、反结或冲销流程。</w:t>
      </w:r>
    </w:p>
    <w:p>
      <w:r>
        <w:rPr>
          <w:rFonts w:ascii="宋体" w:hAnsi="宋体" w:eastAsia="宋体" w:cs="宋体"/>
          <w:sz w:val="28"/>
          <w:szCs w:val="28"/>
        </w:rPr>
        <w:t>- 查询、报表和 AI 能力必须遵守同一套权限和数据边界。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八、核心数据域</w:t>
      </w:r>
    </w:p>
    <w:p>
      <w:r>
        <w:rPr>
          <w:rFonts w:ascii="宋体" w:hAnsi="宋体" w:eastAsia="宋体" w:cs="宋体"/>
          <w:sz w:val="28"/>
          <w:szCs w:val="28"/>
        </w:rPr>
        <w:t>概要设计阶段建议先按数据域组织，不急于固化物理表。</w:t>
      </w:r>
    </w:p>
    <w:p>
      <w:r>
        <w:rPr>
          <w:rFonts w:ascii="宋体" w:hAnsi="宋体" w:eastAsia="宋体" w:cs="宋体"/>
          <w:sz w:val="28"/>
          <w:szCs w:val="28"/>
        </w:rPr>
        <w:t>本节只说明数据域边界；主数据细化以 `03-主数据与编码概要设计-v0.1.md` 为准，NC 接口细化以 `05-NC接口与对账概要设计-v0.1.md` 为准。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数据域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主要对象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主数据域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组织、仓库、库区货位、物料分类、物料主数据、计量单位、供应商、成本中心、NC 存货映射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采购计划域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需求提报、需求汇总、采购计划、计划调整、计划外紧急采购、新品计划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招采协同域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招标申请、采购方式、标包、采购文件、招采平台回传结果、评标报告附件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合同资金域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合同、合同条款、付款节点、付款计划、付款申请、付款状态、实付回写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库存单据域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到货单、验收单、质检单、入库单、退货单、领料单、退料单、调拨单、盘点单、处置单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设备租赁域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设备台账、设备状态、权属变更、维修保养、报废处置、租赁合同、起租、停租、退租、租赁费用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财务接口域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接口任务、接口报文、接口回执、推送状态、幂等键、错误日志、重推记录、对账记录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权限审计域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用户、角色、岗位、数据权限、审批实例、审批意见、操作日志、登录日志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报表分析域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库存余额、收发存、暂估未冲销、接口失败、呆滞库存、低库存、合同风险、供应商履约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九、集成边界概要</w:t>
      </w:r>
    </w:p>
    <w:p>
      <w:r>
        <w:rPr>
          <w:rFonts w:ascii="宋体" w:hAnsi="宋体" w:eastAsia="宋体" w:cs="宋体"/>
          <w:sz w:val="28"/>
          <w:szCs w:val="28"/>
        </w:rPr>
        <w:t>本节只保留集成对象和职责边界，详细接口治理以 `01-总体架构与集成边界-v0.1.md` 和 `05-NC接口与对账概要设计-v0.1.md` 为准。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集成对象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总览边界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Nova Platform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负责统一身份、组织、人员等公共能力；物资系统通过 API 获取并保存业务副本，不与平台共库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NC 财务系统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负责凭证、应付、实付和总账；物资系统负责业务事实、接口任务、回执状态和对账依据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能源集团招采平台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负责公告、投标、开标、评标和公示；物资系统负责采购文件协同、结果归档和合同联动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统一 AI 平台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作为统一 AI 入口；物资系统开放受控查询和分析 Tool，不允许 AI 直接访问底层数据库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十、权限与审批概要</w:t>
      </w:r>
    </w:p>
    <w:p>
      <w:r>
        <w:rPr>
          <w:rFonts w:ascii="宋体" w:hAnsi="宋体" w:eastAsia="宋体" w:cs="宋体"/>
          <w:sz w:val="28"/>
          <w:szCs w:val="28"/>
        </w:rPr>
        <w:t>权限设计建议分为四层：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层级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说明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身份认证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统一接入 SSO，身份来源以集团统一平台为准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功能权限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控制菜单、按钮、导入导出、审批、重推、反结等操作能力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数据权限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按集团、矿厂、仓库、使用单位、业务角色控制可见范围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审计权限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高敏感操作必须记录操作人、时间、前后值、审批意见和来源单据</w:t>
            </w:r>
          </w:p>
        </w:tc>
      </w:tr>
    </w:tbl>
    <w:p>
      <w:r>
        <w:rPr>
          <w:rFonts w:ascii="宋体" w:hAnsi="宋体" w:eastAsia="宋体" w:cs="宋体"/>
          <w:sz w:val="28"/>
          <w:szCs w:val="28"/>
        </w:rPr>
        <w:t>高敏感场景包括火工品、危险品、盘亏、报废、销毁、月结、反结、补录、接口重推、黑名单解除和合同变更。</w:t>
      </w:r>
    </w:p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十一、非功能与部署概要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分类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概要要求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部署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私有化部署，系统独立数据库，不与集团统一平台共库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数据库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采用 PostgreSQL 兼容国产信创数据库，具体产品在实施阶段确定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接口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API + JSON，优先 HTTPS，接口日志可查，异常可追溯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安全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统一身份认证、最小权限、敏感操作审计、数据导出留痕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性能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满足常规出入库、审批、查询、接口批处理和月末对账高峰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可用性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支持接口失败重试、人工补偿、任务监控和异常告警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可扩展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预留辽宁能源统一编码、招采平台深度直连、AI Tool 扩展能力</w:t>
            </w:r>
          </w:p>
        </w:tc>
      </w:tr>
      <w:tr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运维</w:t>
            </w:r>
          </w:p>
        </w:tc>
        <w:tc>
          <w:tcPr>
            <w:tcW w:type="dxa" w:w="54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支持操作日志、接口日志、错误日志、运行监控和巡检记录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十二、后续概要设计文档拆分</w:t>
      </w:r>
    </w:p>
    <w:p>
      <w:r>
        <w:rPr>
          <w:rFonts w:ascii="宋体" w:hAnsi="宋体" w:eastAsia="宋体" w:cs="宋体"/>
          <w:sz w:val="28"/>
          <w:szCs w:val="28"/>
        </w:rPr>
        <w:t>建议概要设计阶段按以下顺序编写：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顺序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文档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目标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1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`00-概要设计总览-v0.1.md`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统一设计输入、边界、架构、模块分组和后续拆分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2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`01-总体架构与集成边界-v0.1.md`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细化部署架构、系统组件、外部系统对接和接口治理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3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`02-业务模块概要设计-v0.1.md`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按 15 个模块说明模块职责、核心流程、关键单据和边界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4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`03-主数据与编码概要设计-v0.1.md`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细化物料、分类、编码、供应商、组织仓库、NC 映射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5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`04-权限审批与审计概要设计-v0.1.md`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细化角色、功能权限、数据权限、审批流和高敏感控制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6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`05-NC接口与对账概要设计-v0.1.md`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细化 29 项接口、状态矩阵、幂等、重推、对账和封账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7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`06-报表预警与AI能力概要设计-v0.1.md`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细化报表清单、预警模型、AI Tool 清单和权限控制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8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`07-非功能与实施约束概要设计-v0.1.md`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细化信创、性能、安全、运维、迁移、试运行和验收支撑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十三、待进入详细设计前的保留事项</w:t>
      </w:r>
    </w:p>
    <w:p>
      <w:r>
        <w:rPr>
          <w:rFonts w:ascii="宋体" w:hAnsi="宋体" w:eastAsia="宋体" w:cs="宋体"/>
          <w:sz w:val="28"/>
          <w:szCs w:val="28"/>
        </w:rPr>
        <w:t>以下事项不阻塞概要设计，但在详细设计或实施启动前必须进一步明确：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事项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影响范围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建议处理时点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计量单位统一字典的维护归口、变更审批和映射关系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主数据、NC 接口、报表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详细设计前完成模板确认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集团组织架构与 NC 财务核算组织映射规则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组织权限、财务接口、成本归集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详细设计前形成映射台账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具体数据库产品和 SQL 方言差异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表结构、索引、脚本、迁移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详细设计和环境准备阶段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审批流最终节点与岗位人员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流程配置、权限配置、上线初始化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实施配置阶段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报表字段口径和统计周期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报表、AI 查询、验收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原型和详细设计阶段</w:t>
            </w:r>
          </w:p>
        </w:tc>
      </w:tr>
      <w:tr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PDF/zip 发标包交付形态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招标交付物</w:t>
            </w:r>
          </w:p>
        </w:tc>
        <w:tc>
          <w:tcPr>
            <w:tcW w:type="dxa" w:w="36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r>
              <w:rPr>
                <w:rFonts w:ascii="宋体" w:hAnsi="宋体" w:eastAsia="宋体" w:cs="宋体"/>
                <w:sz w:val="28"/>
                <w:szCs w:val="28"/>
              </w:rPr>
            </w:r>
            <w:r>
              <w:rPr>
                <w:rFonts w:ascii="宋体" w:hAnsi="宋体" w:eastAsia="宋体" w:cs="宋体"/>
                <w:sz w:val="28"/>
                <w:szCs w:val="28"/>
              </w:rPr>
              <w:t>管理层封版决策后处理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 w:cs="宋体"/>
          <w:b/>
          <w:sz w:val="28"/>
          <w:szCs w:val="28"/>
        </w:rPr>
        <w:t>十四、一句话结论</w:t>
      </w:r>
    </w:p>
    <w:p>
      <w:r>
        <w:rPr>
          <w:rFonts w:ascii="宋体" w:hAnsi="宋体" w:eastAsia="宋体" w:cs="宋体"/>
          <w:sz w:val="28"/>
          <w:szCs w:val="28"/>
        </w:rPr>
        <w:t>当前文档体系已具备进入概要设计阶段的条件。概要设计应先固化总体架构、模块边界、数据主线、集成边界和权限审计模型，再逐步下钻到业务模块、接口、主数据、报表和非功能专题，避免过早锁死详细表结构和页面原型。</w:t>
      </w:r>
    </w:p>
    <w:sectPr w:rsidR="00FC693F" w:rsidRPr="0006063C" w:rsidSect="00034616">
      <w:headerReference w:type="default" r:id="rId11"/>
      <w:headerReference w:type="first" r:id="rId12"/>
      <w:headerReference w:type="even" r:id="rId13"/>
      <w:footerReference w:type="default" r:id="rId14"/>
      <w:footerReference w:type="first" r:id="rId15"/>
      <w:footerReference w:type="even" r:id="rId1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rPr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rPr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 w:cs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宋体" w:hAnsi="宋体" w:eastAsia="宋体" w:cs="宋体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宋体" w:hAnsi="宋体" w:eastAsia="宋体" w:cs="宋体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宋体" w:hAnsi="宋体" w:eastAsia="宋体" w:cs="宋体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 w:cs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 w:eastAsia="宋体" w:cs="宋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 w:eastAsia="宋体" w:cs="宋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 w:eastAsia="宋体" w:cs="宋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宋体" w:hAnsi="宋体" w:eastAsia="宋体" w:cs="宋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宋体" w:hAnsi="宋体" w:eastAsia="宋体" w:cs="宋体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rFonts w:ascii="宋体" w:hAnsi="宋体" w:eastAsia="宋体" w:cs="宋体"/>
    </w:rPr>
  </w:style>
  <w:style w:type="numbering" w:default="1" w:styleId="NoList">
    <w:name w:val="No List"/>
    <w:uiPriority w:val="99"/>
    <w:semiHidden/>
    <w:unhideWhenUsed/>
    <w:rPr>
      <w:rFonts w:ascii="宋体" w:hAnsi="宋体" w:eastAsia="宋体" w:cs="宋体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宋体" w:hAnsi="宋体" w:eastAsia="宋体" w:cs="宋体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宋体" w:hAnsi="宋体" w:eastAsia="宋体" w:cs="宋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宋体" w:hAnsi="宋体" w:eastAsia="宋体" w:cs="宋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宋体" w:hAnsi="宋体" w:eastAsia="宋体" w:cs="宋体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宋体" w:hAnsi="宋体" w:eastAsia="宋体" w:cs="宋体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宋体" w:hAnsi="宋体" w:eastAsia="宋体" w:cs="宋体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宋体" w:hAnsi="宋体" w:eastAsia="宋体" w:cs="宋体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宋体" w:hAnsi="宋体" w:eastAsia="宋体" w:cs="宋体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宋体" w:hAnsi="宋体" w:eastAsia="宋体" w:cs="宋体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宋体" w:hAnsi="宋体" w:eastAsia="宋体" w:cs="宋体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宋体" w:hAnsi="宋体" w:eastAsia="宋体" w:cs="宋体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宋体" w:hAnsi="宋体" w:eastAsia="宋体" w:cs="宋体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宋体" w:hAnsi="宋体" w:eastAsia="宋体" w:cs="宋体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宋体" w:hAnsi="宋体" w:eastAsia="宋体" w:cs="宋体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宋体" w:hAnsi="宋体" w:eastAsia="宋体" w:cs="宋体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宋体" w:hAnsi="宋体" w:eastAsia="宋体" w:cs="宋体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宋体" w:hAnsi="宋体" w:eastAsia="宋体" w:cs="宋体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宋体" w:hAnsi="宋体" w:eastAsia="宋体" w:cs="宋体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宋体" w:hAnsi="宋体" w:eastAsia="宋体" w:cs="宋体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宋体" w:hAnsi="宋体" w:eastAsia="宋体" w:cs="宋体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宋体" w:hAnsi="宋体" w:eastAsia="宋体" w:cs="宋体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宋体" w:hAnsi="宋体" w:eastAsia="宋体" w:cs="宋体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宋体" w:hAnsi="宋体" w:eastAsia="宋体" w:cs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宋体" w:hAnsi="宋体" w:eastAsia="宋体" w:cs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宋体" w:hAnsi="宋体" w:eastAsia="宋体" w:cs="宋体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宋体" w:hAnsi="宋体" w:eastAsia="宋体" w:cs="宋体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宋体" w:hAnsi="宋体" w:eastAsia="宋体" w:cs="宋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宋体" w:hAnsi="宋体" w:eastAsia="宋体" w:cs="宋体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宋体" w:hAnsi="宋体" w:eastAsia="宋体" w:cs="宋体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宋体" w:hAnsi="宋体" w:eastAsia="宋体" w:cs="宋体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宋体" w:hAnsi="宋体" w:eastAsia="宋体" w:cs="宋体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宋体" w:hAnsi="宋体" w:eastAsia="宋体" w:cs="宋体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宋体" w:hAnsi="宋体" w:eastAsia="宋体" w:cs="宋体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宋体" w:hAnsi="宋体" w:eastAsia="宋体" w:cs="宋体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宋体" w:hAnsi="宋体" w:eastAsia="宋体" w:cs="宋体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宋体" w:hAnsi="宋体" w:eastAsia="宋体" w:cs="宋体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宋体" w:hAnsi="宋体" w:eastAsia="宋体" w:cs="宋体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宋体" w:hAnsi="宋体" w:eastAsia="宋体" w:cs="宋体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rPr>
      <w:rFonts w:ascii="宋体" w:hAnsi="宋体" w:eastAsia="宋体" w:cs="宋体"/>
    </w: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宋体" w:hAnsi="宋体" w:eastAsia="宋体" w:cs="宋体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rPr>
      <w:rFonts w:ascii="宋体" w:hAnsi="宋体" w:eastAsia="宋体" w:cs="宋体"/>
    </w:r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rPr>
      <w:rFonts w:ascii="宋体" w:hAnsi="宋体" w:eastAsia="宋体" w:cs="宋体"/>
    </w:r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rPr>
      <w:rFonts w:ascii="宋体" w:hAnsi="宋体" w:eastAsia="宋体" w:cs="宋体"/>
    </w:r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rPr>
      <w:rFonts w:ascii="宋体" w:hAnsi="宋体" w:eastAsia="宋体" w:cs="宋体"/>
    </w:r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rPr>
      <w:rFonts w:ascii="宋体" w:hAnsi="宋体" w:eastAsia="宋体" w:cs="宋体"/>
    </w:r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rPr>
      <w:rFonts w:ascii="宋体" w:hAnsi="宋体" w:eastAsia="宋体" w:cs="宋体"/>
    </w:r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rPr>
      <w:rFonts w:ascii="宋体" w:hAnsi="宋体" w:eastAsia="宋体" w:cs="宋体"/>
    </w:r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rPr>
      <w:rFonts w:ascii="宋体" w:hAnsi="宋体" w:eastAsia="宋体" w:cs="宋体"/>
    </w:r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rPr>
      <w:rFonts w:ascii="宋体" w:hAnsi="宋体" w:eastAsia="宋体" w:cs="宋体"/>
    </w:r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rPr>
      <w:rFonts w:ascii="宋体" w:hAnsi="宋体" w:eastAsia="宋体" w:cs="宋体"/>
    </w:r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rPr>
      <w:rFonts w:ascii="宋体" w:hAnsi="宋体" w:eastAsia="宋体" w:cs="宋体"/>
    </w:r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rPr>
      <w:rFonts w:ascii="宋体" w:hAnsi="宋体" w:eastAsia="宋体" w:cs="宋体"/>
    </w:r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rPr>
      <w:rFonts w:ascii="宋体" w:hAnsi="宋体" w:eastAsia="宋体" w:cs="宋体"/>
    </w:r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rPr>
      <w:rFonts w:ascii="宋体" w:hAnsi="宋体" w:eastAsia="宋体" w:cs="宋体"/>
    </w:r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rPr>
      <w:rFonts w:ascii="宋体" w:hAnsi="宋体" w:eastAsia="宋体" w:cs="宋体"/>
    </w:r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rPr>
      <w:rFonts w:ascii="宋体" w:hAnsi="宋体" w:eastAsia="宋体" w:cs="宋体"/>
    </w:r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rPr>
      <w:rFonts w:ascii="宋体" w:hAnsi="宋体" w:eastAsia="宋体" w:cs="宋体"/>
    </w:r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rPr>
      <w:rFonts w:ascii="宋体" w:hAnsi="宋体" w:eastAsia="宋体" w:cs="宋体"/>
    </w:r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rPr>
      <w:rFonts w:ascii="宋体" w:hAnsi="宋体" w:eastAsia="宋体" w:cs="宋体"/>
    </w:r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rPr>
      <w:rFonts w:ascii="宋体" w:hAnsi="宋体" w:eastAsia="宋体" w:cs="宋体"/>
    </w:r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rPr>
      <w:rFonts w:ascii="宋体" w:hAnsi="宋体" w:eastAsia="宋体" w:cs="宋体"/>
    </w:r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rPr>
      <w:rFonts w:ascii="宋体" w:hAnsi="宋体" w:eastAsia="宋体" w:cs="宋体"/>
    </w:r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  <w:rPr>
      <w:rFonts w:ascii="宋体" w:hAnsi="宋体" w:eastAsia="宋体" w:cs="宋体"/>
    </w:r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  <w:rPr>
      <w:rFonts w:ascii="宋体" w:hAnsi="宋体" w:eastAsia="宋体" w:cs="宋体"/>
    </w:r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  <w:rPr>
      <w:rFonts w:ascii="宋体" w:hAnsi="宋体" w:eastAsia="宋体" w:cs="宋体"/>
    </w:r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  <w:rPr>
      <w:rFonts w:ascii="宋体" w:hAnsi="宋体" w:eastAsia="宋体" w:cs="宋体"/>
    </w:r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  <w:rPr>
      <w:rFonts w:ascii="宋体" w:hAnsi="宋体" w:eastAsia="宋体" w:cs="宋体"/>
    </w:r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  <w:rPr>
      <w:rFonts w:ascii="宋体" w:hAnsi="宋体" w:eastAsia="宋体" w:cs="宋体"/>
    </w:r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  <w:rPr>
      <w:rFonts w:ascii="宋体" w:hAnsi="宋体" w:eastAsia="宋体" w:cs="宋体"/>
    </w:r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宋体" w:hAnsi="宋体" w:eastAsia="宋体" w:cs="宋体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宋体" w:hAnsi="宋体" w:eastAsia="宋体" w:cs="宋体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