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总体架构与集成边界概要设计（V0.1）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本文档用于细化物资供应管理系统的一期总体架构、部署边界、系统组件和外部集成关系。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系统按哪些逻辑组件组织</w:t>
      </w:r>
    </w:p>
    <w:p>
      <w:r>
        <w:rPr>
          <w:rFonts w:ascii="宋体" w:hAnsi="宋体" w:eastAsia="宋体" w:cs="宋体"/>
          <w:sz w:val="28"/>
          <w:szCs w:val="28"/>
        </w:rPr>
        <w:t>- 系统如何私有化部署、如何与集团统一平台低耦合集成</w:t>
      </w:r>
    </w:p>
    <w:p>
      <w:r>
        <w:rPr>
          <w:rFonts w:ascii="宋体" w:hAnsi="宋体" w:eastAsia="宋体" w:cs="宋体"/>
          <w:sz w:val="28"/>
          <w:szCs w:val="28"/>
        </w:rPr>
        <w:t>- 与 Nova Platform、NC 财务系统、能源集团招采平台、统一 AI 平台的职责边界是什么</w:t>
      </w:r>
    </w:p>
    <w:p>
      <w:r>
        <w:rPr>
          <w:rFonts w:ascii="宋体" w:hAnsi="宋体" w:eastAsia="宋体" w:cs="宋体"/>
          <w:sz w:val="28"/>
          <w:szCs w:val="28"/>
        </w:rPr>
        <w:t>- API、日志、鉴权、幂等、异常和对账应如何治理</w:t>
      </w:r>
    </w:p>
    <w:p>
      <w:r>
        <w:rPr>
          <w:rFonts w:ascii="宋体" w:hAnsi="宋体" w:eastAsia="宋体" w:cs="宋体"/>
          <w:sz w:val="28"/>
          <w:szCs w:val="28"/>
        </w:rPr>
        <w:t>- 哪些架构事项必须在概要设计阶段确定，哪些留到详细设计或联调阶段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二、设计原则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2.1 独立部署、低耦合集成</w:t>
      </w:r>
    </w:p>
    <w:p>
      <w:r>
        <w:rPr>
          <w:rFonts w:ascii="宋体" w:hAnsi="宋体" w:eastAsia="宋体" w:cs="宋体"/>
          <w:sz w:val="28"/>
          <w:szCs w:val="28"/>
        </w:rPr>
        <w:t>物资供应管理系统应独立部署应用服务和业务数据库，不与 Nova Platform 或其他集团平台共用数据库实例。</w:t>
      </w:r>
    </w:p>
    <w:p>
      <w:r>
        <w:rPr>
          <w:rFonts w:ascii="宋体" w:hAnsi="宋体" w:eastAsia="宋体" w:cs="宋体"/>
          <w:sz w:val="28"/>
          <w:szCs w:val="28"/>
        </w:rPr>
        <w:t>系统通过标准 API 获取集团统一身份、组织、人员、权限等公共能力，避免直接访问平台底层库。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2.2 业务闭环优先</w:t>
      </w:r>
    </w:p>
    <w:p>
      <w:r>
        <w:rPr>
          <w:rFonts w:ascii="宋体" w:hAnsi="宋体" w:eastAsia="宋体" w:cs="宋体"/>
          <w:sz w:val="28"/>
          <w:szCs w:val="28"/>
        </w:rPr>
        <w:t>架构设计应优先保证从需求提报、采购计划、招投标协同、合同、入库、库存流转、资金计划到 NC 财务接口和对账的闭环稳定运行。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2.3 数据受控、接口留痕</w:t>
      </w:r>
    </w:p>
    <w:p>
      <w:r>
        <w:rPr>
          <w:rFonts w:ascii="宋体" w:hAnsi="宋体" w:eastAsia="宋体" w:cs="宋体"/>
          <w:sz w:val="28"/>
          <w:szCs w:val="28"/>
        </w:rPr>
        <w:t>所有跨系统数据交换都应通过受控接口完成。接口调用、权限校验、失败重推、回执处理和人工干预必须可查询、可追溯、可审计。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2.4 统一身份、统一权限</w:t>
      </w:r>
    </w:p>
    <w:p>
      <w:r>
        <w:rPr>
          <w:rFonts w:ascii="宋体" w:hAnsi="宋体" w:eastAsia="宋体" w:cs="宋体"/>
          <w:sz w:val="28"/>
          <w:szCs w:val="28"/>
        </w:rPr>
        <w:t>用户身份和组织人员数据以集团统一平台为上位来源；物资系统保留本地业务角色、数据权限、审批规则和业务副本，用于本系统业务控制。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2.5 AI 能力纳入主架构</w:t>
      </w:r>
    </w:p>
    <w:p>
      <w:r>
        <w:rPr>
          <w:rFonts w:ascii="宋体" w:hAnsi="宋体" w:eastAsia="宋体" w:cs="宋体"/>
          <w:sz w:val="28"/>
          <w:szCs w:val="28"/>
        </w:rPr>
        <w:t>统一 AI 平台调用物资系统能力时，只能通过受控业务 API 和 Tool 能力访问，不能直接连接物资系统数据库。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2.6 信创适配和可迁移</w:t>
      </w:r>
    </w:p>
    <w:p>
      <w:r>
        <w:rPr>
          <w:rFonts w:ascii="宋体" w:hAnsi="宋体" w:eastAsia="宋体" w:cs="宋体"/>
          <w:sz w:val="28"/>
          <w:szCs w:val="28"/>
        </w:rPr>
        <w:t>系统应满足国产操作系统、国产数据库和私有化部署要求。数据库优先按 PostgreSQL 兼容国产信创数据库设计，具体产品差异在详细设计和实施环境阶段处理。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三、总体逻辑架构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系统逻辑架构建议划分为用户入口层、业务应用层、平台支撑层、数据存储层、集成服务层和运维审计层。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4857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四、部署架构概要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一期建议采用私有化部署，按应用服务、数据库、文件存储、接口服务和运维监控进行分层。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3327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应用服务</w:t>
      </w:r>
    </w:p>
    <w:p>
      <w:r>
        <w:rPr>
          <w:rFonts w:ascii="宋体" w:hAnsi="宋体" w:eastAsia="宋体" w:cs="宋体"/>
          <w:sz w:val="28"/>
          <w:szCs w:val="28"/>
        </w:rPr>
        <w:t>- 承载业务模块、审批、查询、报表、接口管理和系统支撑能力。</w:t>
      </w:r>
    </w:p>
    <w:p>
      <w:r>
        <w:rPr>
          <w:rFonts w:ascii="宋体" w:hAnsi="宋体" w:eastAsia="宋体" w:cs="宋体"/>
          <w:sz w:val="28"/>
          <w:szCs w:val="28"/>
        </w:rPr>
        <w:t>- 支持 Web 和移动端访问。</w:t>
      </w:r>
    </w:p>
    <w:p>
      <w:r>
        <w:rPr>
          <w:rFonts w:ascii="宋体" w:hAnsi="宋体" w:eastAsia="宋体" w:cs="宋体"/>
          <w:sz w:val="28"/>
          <w:szCs w:val="28"/>
        </w:rPr>
        <w:t>- 支持后续按业务量拆分服务或模块，但一期概要设计不强制微服务化。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数据库</w:t>
      </w:r>
    </w:p>
    <w:p>
      <w:r>
        <w:rPr>
          <w:rFonts w:ascii="宋体" w:hAnsi="宋体" w:eastAsia="宋体" w:cs="宋体"/>
          <w:sz w:val="28"/>
          <w:szCs w:val="28"/>
        </w:rPr>
        <w:t>- 独立部署物资系统业务数据库。</w:t>
      </w:r>
    </w:p>
    <w:p>
      <w:r>
        <w:rPr>
          <w:rFonts w:ascii="宋体" w:hAnsi="宋体" w:eastAsia="宋体" w:cs="宋体"/>
          <w:sz w:val="28"/>
          <w:szCs w:val="28"/>
        </w:rPr>
        <w:t>- 不与 Nova Platform、NC 或招采平台共库。</w:t>
      </w:r>
    </w:p>
    <w:p>
      <w:r>
        <w:rPr>
          <w:rFonts w:ascii="宋体" w:hAnsi="宋体" w:eastAsia="宋体" w:cs="宋体"/>
          <w:sz w:val="28"/>
          <w:szCs w:val="28"/>
        </w:rPr>
        <w:t>- 数据库产品按 PostgreSQL 兼容国产信创数据库方向设计。</w:t>
      </w:r>
    </w:p>
    <w:p>
      <w:r>
        <w:rPr>
          <w:rFonts w:ascii="宋体" w:hAnsi="宋体" w:eastAsia="宋体" w:cs="宋体"/>
          <w:sz w:val="28"/>
          <w:szCs w:val="28"/>
        </w:rPr>
        <w:t>- SQL 方言、分区、索引、序列、JSON 字段等细节在详细设计阶段结合最终产品确定。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4.3 文件与影像存储</w:t>
      </w:r>
    </w:p>
    <w:p>
      <w:r>
        <w:rPr>
          <w:rFonts w:ascii="宋体" w:hAnsi="宋体" w:eastAsia="宋体" w:cs="宋体"/>
          <w:sz w:val="28"/>
          <w:szCs w:val="28"/>
        </w:rPr>
        <w:t>- 存储合同附件、采购文件、验收照片、质检资料、招评标结果材料、供应商资质、设备资料等。</w:t>
      </w:r>
    </w:p>
    <w:p>
      <w:r>
        <w:rPr>
          <w:rFonts w:ascii="宋体" w:hAnsi="宋体" w:eastAsia="宋体" w:cs="宋体"/>
          <w:sz w:val="28"/>
          <w:szCs w:val="28"/>
        </w:rPr>
        <w:t>- 文件对象应与业务单据建立关联关系。</w:t>
      </w:r>
    </w:p>
    <w:p>
      <w:r>
        <w:rPr>
          <w:rFonts w:ascii="宋体" w:hAnsi="宋体" w:eastAsia="宋体" w:cs="宋体"/>
          <w:sz w:val="28"/>
          <w:szCs w:val="28"/>
        </w:rPr>
        <w:t>- 重要附件应保留上传人、上传时间、来源单据、文件类型和版本信息。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4.4 日志与审计</w:t>
      </w:r>
    </w:p>
    <w:p>
      <w:r>
        <w:rPr>
          <w:rFonts w:ascii="宋体" w:hAnsi="宋体" w:eastAsia="宋体" w:cs="宋体"/>
          <w:sz w:val="28"/>
          <w:szCs w:val="28"/>
        </w:rPr>
        <w:t>- 至少覆盖登录日志、业务操作日志、审批流转日志、接口调用日志、异常日志、导出日志和 AI 调用日志。</w:t>
      </w:r>
    </w:p>
    <w:p>
      <w:r>
        <w:rPr>
          <w:rFonts w:ascii="宋体" w:hAnsi="宋体" w:eastAsia="宋体" w:cs="宋体"/>
          <w:sz w:val="28"/>
          <w:szCs w:val="28"/>
        </w:rPr>
        <w:t>- 高敏感操作应记录操作前后值、审批意见和来源单据。</w:t>
      </w:r>
    </w:p>
    <w:p>
      <w:r>
        <w:rPr>
          <w:rFonts w:ascii="宋体" w:hAnsi="宋体" w:eastAsia="宋体" w:cs="宋体"/>
          <w:sz w:val="28"/>
          <w:szCs w:val="28"/>
        </w:rPr>
        <w:t>- 日志保留周期和归档策略在详细设计阶段按集团运维要求细化。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4.5 运维监控</w:t>
      </w:r>
    </w:p>
    <w:p>
      <w:r>
        <w:rPr>
          <w:rFonts w:ascii="宋体" w:hAnsi="宋体" w:eastAsia="宋体" w:cs="宋体"/>
          <w:sz w:val="28"/>
          <w:szCs w:val="28"/>
        </w:rPr>
        <w:t>- 监控应用可用性、数据库连接、接口成功率、失败重推、定时任务、磁盘容量和关键错误。</w:t>
      </w:r>
    </w:p>
    <w:p>
      <w:r>
        <w:rPr>
          <w:rFonts w:ascii="宋体" w:hAnsi="宋体" w:eastAsia="宋体" w:cs="宋体"/>
          <w:sz w:val="28"/>
          <w:szCs w:val="28"/>
        </w:rPr>
        <w:t>- 失败达阈值时应触发告警，推送给运维和业务责任人。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五、核心组件划分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业务应用组件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承载 15 个一期业务模块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重点保障库存实物流转和业财协同闭环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管理组织、仓库、物料、供应商、计量单位、成本中心、NC 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与编码规则、NC 映射和权限范围强关联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流程审批组件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管理业务审批、合同会签、盘亏报废、反结补录等流程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一期可采用配置化审批能力，不要求建设大型 BPM 平台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管理角色、功能权限、数据权限、高敏感操作控制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身份来源对接 Nova，本地保留业务权限模型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接口适配组件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 NC、Nova、招采平台、AI 平台接口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+ JSON 为正式集成标准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任务与补偿组件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管理定时对账、月末暂估、接口重试、失败补偿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需要可监控、可暂停、可重推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报表查询组件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提供库存、收发存、合同、接口、预警、追溯查询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支持多维查询和导出留痕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日志审计组件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统一记录操作、审批、接口、导出和 AI 调用日志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支撑审计、追责和问题复盘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六、外部系统集成边界</w:t>
      </w:r>
    </w:p>
    <w:p>
      <w:r>
        <w:rPr>
          <w:rFonts w:ascii="宋体" w:hAnsi="宋体" w:eastAsia="宋体" w:cs="宋体"/>
          <w:sz w:val="28"/>
          <w:szCs w:val="28"/>
        </w:rPr>
        <w:t>本章是外部系统职责边界和接口治理的权威章节。主数据对象、编码和 NC 存货映射细则以 `03-主数据与编码概要设计-v0.1.md` 为准；业务模块职责以 `02-业务模块概要设计-v0.1.md` 为准；接口字段、报文、对账和封账细节以 `05-NC接口与对账概要设计-v0.1.md` 为准。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Nova Platform</w:t>
      </w:r>
    </w:p>
    <w:p>
      <w:r>
        <w:rPr>
          <w:rFonts w:ascii="宋体" w:hAnsi="宋体" w:eastAsia="宋体" w:cs="宋体"/>
          <w:b/>
          <w:sz w:val="28"/>
          <w:szCs w:val="28"/>
        </w:rPr>
        <w:t>定位：</w:t>
      </w:r>
      <w:r>
        <w:rPr>
          <w:rFonts w:ascii="宋体" w:hAnsi="宋体" w:eastAsia="宋体" w:cs="宋体"/>
          <w:sz w:val="28"/>
          <w:szCs w:val="28"/>
        </w:rPr>
        <w:t xml:space="preserve"> 集团统一公共服务平台，提供统一身份、组织、人员、权限和公共服务能力。</w:t>
      </w:r>
    </w:p>
    <w:p>
      <w:r>
        <w:rPr>
          <w:rFonts w:ascii="宋体" w:hAnsi="宋体" w:eastAsia="宋体" w:cs="宋体"/>
          <w:b/>
          <w:sz w:val="28"/>
          <w:szCs w:val="28"/>
        </w:rPr>
        <w:t>物资系统使用内容：</w:t>
      </w:r>
    </w:p>
    <w:p>
      <w:r>
        <w:rPr>
          <w:rFonts w:ascii="宋体" w:hAnsi="宋体" w:eastAsia="宋体" w:cs="宋体"/>
          <w:sz w:val="28"/>
          <w:szCs w:val="28"/>
        </w:rPr>
        <w:t>- SSO 单点登录</w:t>
      </w:r>
    </w:p>
    <w:p>
      <w:r>
        <w:rPr>
          <w:rFonts w:ascii="宋体" w:hAnsi="宋体" w:eastAsia="宋体" w:cs="宋体"/>
          <w:sz w:val="28"/>
          <w:szCs w:val="28"/>
        </w:rPr>
        <w:t>- 组织架构和人员基础数据</w:t>
      </w:r>
    </w:p>
    <w:p>
      <w:r>
        <w:rPr>
          <w:rFonts w:ascii="宋体" w:hAnsi="宋体" w:eastAsia="宋体" w:cs="宋体"/>
          <w:sz w:val="28"/>
          <w:szCs w:val="28"/>
        </w:rPr>
        <w:t>- 岗位或角色基础信息</w:t>
      </w:r>
    </w:p>
    <w:p>
      <w:r>
        <w:rPr>
          <w:rFonts w:ascii="宋体" w:hAnsi="宋体" w:eastAsia="宋体" w:cs="宋体"/>
          <w:sz w:val="28"/>
          <w:szCs w:val="28"/>
        </w:rPr>
        <w:t>- 数据权限上位范围</w:t>
      </w:r>
    </w:p>
    <w:p>
      <w:r>
        <w:rPr>
          <w:rFonts w:ascii="宋体" w:hAnsi="宋体" w:eastAsia="宋体" w:cs="宋体"/>
          <w:sz w:val="28"/>
          <w:szCs w:val="28"/>
        </w:rPr>
        <w:t>- 统一 API 网关或平台 API 规范</w:t>
      </w:r>
    </w:p>
    <w:p>
      <w:r>
        <w:rPr>
          <w:rFonts w:ascii="宋体" w:hAnsi="宋体" w:eastAsia="宋体" w:cs="宋体"/>
          <w:b/>
          <w:sz w:val="28"/>
          <w:szCs w:val="28"/>
        </w:rPr>
        <w:t>边界约束：</w:t>
      </w:r>
    </w:p>
    <w:p>
      <w:r>
        <w:rPr>
          <w:rFonts w:ascii="宋体" w:hAnsi="宋体" w:eastAsia="宋体" w:cs="宋体"/>
          <w:sz w:val="28"/>
          <w:szCs w:val="28"/>
        </w:rPr>
        <w:t>- 物资系统不直接访问 Nova 底层数据库。</w:t>
      </w:r>
    </w:p>
    <w:p>
      <w:r>
        <w:rPr>
          <w:rFonts w:ascii="宋体" w:hAnsi="宋体" w:eastAsia="宋体" w:cs="宋体"/>
          <w:sz w:val="28"/>
          <w:szCs w:val="28"/>
        </w:rPr>
        <w:t>- 物资系统可维护本地业务角色和权限配置。</w:t>
      </w:r>
    </w:p>
    <w:p>
      <w:r>
        <w:rPr>
          <w:rFonts w:ascii="宋体" w:hAnsi="宋体" w:eastAsia="宋体" w:cs="宋体"/>
          <w:sz w:val="28"/>
          <w:szCs w:val="28"/>
        </w:rPr>
        <w:t>- 组织、人员数据可在本地保存业务副本，用于历史单据、审批记录和数据权限判断。</w:t>
      </w:r>
    </w:p>
    <w:p>
      <w:r>
        <w:rPr>
          <w:rFonts w:ascii="宋体" w:hAnsi="宋体" w:eastAsia="宋体" w:cs="宋体"/>
          <w:sz w:val="28"/>
          <w:szCs w:val="28"/>
        </w:rPr>
        <w:t>- 当 Nova 组织人员变更后，物资系统应通过同步或接口查询方式更新本地副本。</w:t>
      </w:r>
    </w:p>
    <w:p>
      <w:r>
        <w:rPr>
          <w:rFonts w:ascii="宋体" w:hAnsi="宋体" w:eastAsia="宋体" w:cs="宋体"/>
          <w:b/>
          <w:sz w:val="28"/>
          <w:szCs w:val="28"/>
        </w:rPr>
        <w:t>概要设计关注点：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登录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 SSO，避免独立认证体系割裂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组织人员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 Nova 为权威来源，本地保存业务副本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结合 Nova 组织范围与物资系统仓库、业务角色配置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可与集团审批体系兼容，具体流程节点在实施阶段配置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登录、授权、权限变更和关键访问须留痕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NC 财务系统</w:t>
      </w:r>
    </w:p>
    <w:p>
      <w:r>
        <w:rPr>
          <w:rFonts w:ascii="宋体" w:hAnsi="宋体" w:eastAsia="宋体" w:cs="宋体"/>
          <w:b/>
          <w:sz w:val="28"/>
          <w:szCs w:val="28"/>
        </w:rPr>
        <w:t>定位：</w:t>
      </w:r>
      <w:r>
        <w:rPr>
          <w:rFonts w:ascii="宋体" w:hAnsi="宋体" w:eastAsia="宋体" w:cs="宋体"/>
          <w:sz w:val="28"/>
          <w:szCs w:val="28"/>
        </w:rPr>
        <w:t xml:space="preserve"> 财务核算、应付处理、凭证、实际付款和总账系统。</w:t>
      </w:r>
    </w:p>
    <w:p>
      <w:r>
        <w:rPr>
          <w:rFonts w:ascii="宋体" w:hAnsi="宋体" w:eastAsia="宋体" w:cs="宋体"/>
          <w:b/>
          <w:sz w:val="28"/>
          <w:szCs w:val="28"/>
        </w:rPr>
        <w:t>物资系统职责：</w:t>
      </w:r>
    </w:p>
    <w:p>
      <w:r>
        <w:rPr>
          <w:rFonts w:ascii="宋体" w:hAnsi="宋体" w:eastAsia="宋体" w:cs="宋体"/>
          <w:sz w:val="28"/>
          <w:szCs w:val="28"/>
        </w:rPr>
        <w:t>- 维护业务事实和业务单据。</w:t>
      </w:r>
    </w:p>
    <w:p>
      <w:r>
        <w:rPr>
          <w:rFonts w:ascii="宋体" w:hAnsi="宋体" w:eastAsia="宋体" w:cs="宋体"/>
          <w:sz w:val="28"/>
          <w:szCs w:val="28"/>
        </w:rPr>
        <w:t>- 形成主数据映射、业务触发、接口任务、接口报文和推送状态。</w:t>
      </w:r>
    </w:p>
    <w:p>
      <w:r>
        <w:rPr>
          <w:rFonts w:ascii="宋体" w:hAnsi="宋体" w:eastAsia="宋体" w:cs="宋体"/>
          <w:sz w:val="28"/>
          <w:szCs w:val="28"/>
        </w:rPr>
        <w:t>- 接收 NC 回执、凭证号、错误信息和实际付款结果。</w:t>
      </w:r>
    </w:p>
    <w:p>
      <w:r>
        <w:rPr>
          <w:rFonts w:ascii="宋体" w:hAnsi="宋体" w:eastAsia="宋体" w:cs="宋体"/>
          <w:sz w:val="28"/>
          <w:szCs w:val="28"/>
        </w:rPr>
        <w:t>- 输出对账结果和异常台账。</w:t>
      </w:r>
    </w:p>
    <w:p>
      <w:r>
        <w:rPr>
          <w:rFonts w:ascii="宋体" w:hAnsi="宋体" w:eastAsia="宋体" w:cs="宋体"/>
          <w:b/>
          <w:sz w:val="28"/>
          <w:szCs w:val="28"/>
        </w:rPr>
        <w:t>NC 职责：</w:t>
      </w:r>
    </w:p>
    <w:p>
      <w:r>
        <w:rPr>
          <w:rFonts w:ascii="宋体" w:hAnsi="宋体" w:eastAsia="宋体" w:cs="宋体"/>
          <w:sz w:val="28"/>
          <w:szCs w:val="28"/>
        </w:rPr>
        <w:t>- 管理财务核算规则和凭证处理。</w:t>
      </w:r>
    </w:p>
    <w:p>
      <w:r>
        <w:rPr>
          <w:rFonts w:ascii="宋体" w:hAnsi="宋体" w:eastAsia="宋体" w:cs="宋体"/>
          <w:sz w:val="28"/>
          <w:szCs w:val="28"/>
        </w:rPr>
        <w:t>- 返回凭证、回执、错误信息、付款执行结果。</w:t>
      </w:r>
    </w:p>
    <w:p>
      <w:r>
        <w:rPr>
          <w:rFonts w:ascii="宋体" w:hAnsi="宋体" w:eastAsia="宋体" w:cs="宋体"/>
          <w:sz w:val="28"/>
          <w:szCs w:val="28"/>
        </w:rPr>
        <w:t>- 配合主数据映射、成本中心、核算组织、科目等规则确认。</w:t>
      </w:r>
    </w:p>
    <w:p>
      <w:r>
        <w:rPr>
          <w:rFonts w:ascii="宋体" w:hAnsi="宋体" w:eastAsia="宋体" w:cs="宋体"/>
          <w:b/>
          <w:sz w:val="28"/>
          <w:szCs w:val="28"/>
        </w:rPr>
        <w:t>一期接口范围：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主数据同步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物料映射、停用通知、计量单位、成本中心、核算组织对照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业务单据推送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19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采购、领料、调拨、盘点、废旧、预付款、暂估、委托加工等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对账与监控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 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日对账、周库存余额、月末全量对账、接口状态查询、映射完整性检查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接口治理要求：</w:t>
      </w:r>
    </w:p>
    <w:p>
      <w:r>
        <w:rPr>
          <w:rFonts w:ascii="宋体" w:hAnsi="宋体" w:eastAsia="宋体" w:cs="宋体"/>
          <w:sz w:val="28"/>
          <w:szCs w:val="28"/>
        </w:rPr>
        <w:t>- 正式集成标准为 API + JSON。</w:t>
      </w:r>
    </w:p>
    <w:p>
      <w:r>
        <w:rPr>
          <w:rFonts w:ascii="宋体" w:hAnsi="宋体" w:eastAsia="宋体" w:cs="宋体"/>
          <w:sz w:val="28"/>
          <w:szCs w:val="28"/>
        </w:rPr>
        <w:t>- 内部可以采用消息队列、任务队列或异步任务实现削峰和重试。</w:t>
      </w:r>
    </w:p>
    <w:p>
      <w:r>
        <w:rPr>
          <w:rFonts w:ascii="宋体" w:hAnsi="宋体" w:eastAsia="宋体" w:cs="宋体"/>
          <w:sz w:val="28"/>
          <w:szCs w:val="28"/>
        </w:rPr>
        <w:t>- 幂等键采用 `interfaceId + sourceBillNo + orgCode` 组合，并在详细设计阶段结合期间、业务类型进一步明确。</w:t>
      </w:r>
    </w:p>
    <w:p>
      <w:r>
        <w:rPr>
          <w:rFonts w:ascii="宋体" w:hAnsi="宋体" w:eastAsia="宋体" w:cs="宋体"/>
          <w:sz w:val="28"/>
          <w:szCs w:val="28"/>
        </w:rPr>
        <w:t>- 接口状态、业务状态、财务处理状态、期间状态必须分层管理。</w:t>
      </w:r>
    </w:p>
    <w:p>
      <w:r>
        <w:rPr>
          <w:rFonts w:ascii="宋体" w:hAnsi="宋体" w:eastAsia="宋体" w:cs="宋体"/>
          <w:sz w:val="28"/>
          <w:szCs w:val="28"/>
        </w:rPr>
        <w:t>- 失败接口必须支持自动重试、人工重推、异常台账和告警。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6.3 能源集团招采平台</w:t>
      </w:r>
    </w:p>
    <w:p>
      <w:r>
        <w:rPr>
          <w:rFonts w:ascii="宋体" w:hAnsi="宋体" w:eastAsia="宋体" w:cs="宋体"/>
          <w:b/>
          <w:sz w:val="28"/>
          <w:szCs w:val="28"/>
        </w:rPr>
        <w:t>定位：</w:t>
      </w:r>
      <w:r>
        <w:rPr>
          <w:rFonts w:ascii="宋体" w:hAnsi="宋体" w:eastAsia="宋体" w:cs="宋体"/>
          <w:sz w:val="28"/>
          <w:szCs w:val="28"/>
        </w:rPr>
        <w:t xml:space="preserve"> 招标公告、投标、开标、评标、结果公示等招评标过程平台。</w:t>
      </w:r>
    </w:p>
    <w:p>
      <w:r>
        <w:rPr>
          <w:rFonts w:ascii="宋体" w:hAnsi="宋体" w:eastAsia="宋体" w:cs="宋体"/>
          <w:b/>
          <w:sz w:val="28"/>
          <w:szCs w:val="28"/>
        </w:rPr>
        <w:t>物资系统职责：</w:t>
      </w:r>
    </w:p>
    <w:p>
      <w:r>
        <w:rPr>
          <w:rFonts w:ascii="宋体" w:hAnsi="宋体" w:eastAsia="宋体" w:cs="宋体"/>
          <w:sz w:val="28"/>
          <w:szCs w:val="28"/>
        </w:rPr>
        <w:t>- 从采购计划生成招标申请和采购文件。</w:t>
      </w:r>
    </w:p>
    <w:p>
      <w:r>
        <w:rPr>
          <w:rFonts w:ascii="宋体" w:hAnsi="宋体" w:eastAsia="宋体" w:cs="宋体"/>
          <w:sz w:val="28"/>
          <w:szCs w:val="28"/>
        </w:rPr>
        <w:t>- 支持采购文件导出或按条件上传。</w:t>
      </w:r>
    </w:p>
    <w:p>
      <w:r>
        <w:rPr>
          <w:rFonts w:ascii="宋体" w:hAnsi="宋体" w:eastAsia="宋体" w:cs="宋体"/>
          <w:sz w:val="28"/>
          <w:szCs w:val="28"/>
        </w:rPr>
        <w:t>- 接收或归档评标报告、结果公示、中标/成交结果等材料。</w:t>
      </w:r>
    </w:p>
    <w:p>
      <w:r>
        <w:rPr>
          <w:rFonts w:ascii="宋体" w:hAnsi="宋体" w:eastAsia="宋体" w:cs="宋体"/>
          <w:sz w:val="28"/>
          <w:szCs w:val="28"/>
        </w:rPr>
        <w:t>- 将中标/成交结果联动到合同管理和供应商管理。</w:t>
      </w:r>
    </w:p>
    <w:p>
      <w:r>
        <w:rPr>
          <w:rFonts w:ascii="宋体" w:hAnsi="宋体" w:eastAsia="宋体" w:cs="宋体"/>
          <w:b/>
          <w:sz w:val="28"/>
          <w:szCs w:val="28"/>
        </w:rPr>
        <w:t>边界约束：</w:t>
      </w:r>
    </w:p>
    <w:p>
      <w:r>
        <w:rPr>
          <w:rFonts w:ascii="宋体" w:hAnsi="宋体" w:eastAsia="宋体" w:cs="宋体"/>
          <w:sz w:val="28"/>
          <w:szCs w:val="28"/>
        </w:rPr>
        <w:t>- 一期不替代能源集团招采平台的招评标过程。</w:t>
      </w:r>
    </w:p>
    <w:p>
      <w:r>
        <w:rPr>
          <w:rFonts w:ascii="宋体" w:hAnsi="宋体" w:eastAsia="宋体" w:cs="宋体"/>
          <w:sz w:val="28"/>
          <w:szCs w:val="28"/>
        </w:rPr>
        <w:t>- 一期以导出/上传、结果导入、附件归档为主。</w:t>
      </w:r>
    </w:p>
    <w:p>
      <w:r>
        <w:rPr>
          <w:rFonts w:ascii="宋体" w:hAnsi="宋体" w:eastAsia="宋体" w:cs="宋体"/>
          <w:sz w:val="28"/>
          <w:szCs w:val="28"/>
        </w:rPr>
        <w:t>- 自动直连、流程穿透、结果结构化同步可作为二期增强。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6.4 统一 AI 平台</w:t>
      </w:r>
    </w:p>
    <w:p>
      <w:r>
        <w:rPr>
          <w:rFonts w:ascii="宋体" w:hAnsi="宋体" w:eastAsia="宋体" w:cs="宋体"/>
          <w:b/>
          <w:sz w:val="28"/>
          <w:szCs w:val="28"/>
        </w:rPr>
        <w:t>定位：</w:t>
      </w:r>
      <w:r>
        <w:rPr>
          <w:rFonts w:ascii="宋体" w:hAnsi="宋体" w:eastAsia="宋体" w:cs="宋体"/>
          <w:sz w:val="28"/>
          <w:szCs w:val="28"/>
        </w:rPr>
        <w:t xml:space="preserve"> 集团统一 AI 入口和智能助理平台。</w:t>
      </w:r>
    </w:p>
    <w:p>
      <w:r>
        <w:rPr>
          <w:rFonts w:ascii="宋体" w:hAnsi="宋体" w:eastAsia="宋体" w:cs="宋体"/>
          <w:b/>
          <w:sz w:val="28"/>
          <w:szCs w:val="28"/>
        </w:rPr>
        <w:t>物资系统职责：</w:t>
      </w:r>
    </w:p>
    <w:p>
      <w:r>
        <w:rPr>
          <w:rFonts w:ascii="宋体" w:hAnsi="宋体" w:eastAsia="宋体" w:cs="宋体"/>
          <w:sz w:val="28"/>
          <w:szCs w:val="28"/>
        </w:rPr>
        <w:t>- 开放库存、出入库、采购到货、供应商、消耗分析、预警识别、合同付款、设备租赁等查询能力。</w:t>
      </w:r>
    </w:p>
    <w:p>
      <w:r>
        <w:rPr>
          <w:rFonts w:ascii="宋体" w:hAnsi="宋体" w:eastAsia="宋体" w:cs="宋体"/>
          <w:sz w:val="28"/>
          <w:szCs w:val="28"/>
        </w:rPr>
        <w:t>- 将能力封装为受控业务 API 或 Tool API。</w:t>
      </w:r>
    </w:p>
    <w:p>
      <w:r>
        <w:rPr>
          <w:rFonts w:ascii="宋体" w:hAnsi="宋体" w:eastAsia="宋体" w:cs="宋体"/>
          <w:sz w:val="28"/>
          <w:szCs w:val="28"/>
        </w:rPr>
        <w:t>- 执行身份识别、权限校验、参数校验、调用日志和异常日志。</w:t>
      </w:r>
    </w:p>
    <w:p>
      <w:r>
        <w:rPr>
          <w:rFonts w:ascii="宋体" w:hAnsi="宋体" w:eastAsia="宋体" w:cs="宋体"/>
          <w:b/>
          <w:sz w:val="28"/>
          <w:szCs w:val="28"/>
        </w:rPr>
        <w:t>边界约束：</w:t>
      </w:r>
    </w:p>
    <w:p>
      <w:r>
        <w:rPr>
          <w:rFonts w:ascii="宋体" w:hAnsi="宋体" w:eastAsia="宋体" w:cs="宋体"/>
          <w:sz w:val="28"/>
          <w:szCs w:val="28"/>
        </w:rPr>
        <w:t>- 不建设独立 AI 门户或独立智能问答入口。</w:t>
      </w:r>
    </w:p>
    <w:p>
      <w:r>
        <w:rPr>
          <w:rFonts w:ascii="宋体" w:hAnsi="宋体" w:eastAsia="宋体" w:cs="宋体"/>
          <w:sz w:val="28"/>
          <w:szCs w:val="28"/>
        </w:rPr>
        <w:t>- AI 平台不得直接访问物资系统底层数据库。</w:t>
      </w:r>
    </w:p>
    <w:p>
      <w:r>
        <w:rPr>
          <w:rFonts w:ascii="宋体" w:hAnsi="宋体" w:eastAsia="宋体" w:cs="宋体"/>
          <w:sz w:val="28"/>
          <w:szCs w:val="28"/>
        </w:rPr>
        <w:t>- AI 查询结果不得突破用户在物资系统中的数据权限。</w:t>
      </w:r>
    </w:p>
    <w:p>
      <w:r>
        <w:rPr>
          <w:rFonts w:ascii="宋体" w:hAnsi="宋体" w:eastAsia="宋体" w:cs="宋体"/>
          <w:sz w:val="28"/>
          <w:szCs w:val="28"/>
        </w:rPr>
        <w:t>- 高风险写操作、审批、数据变更不作为一期 AI 自动执行范围。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七、接口治理模型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接口分层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 API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面向前端、移动端、AI Tool 和外部系统提供业务能力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集成 API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面向 NC、Nova、招采平台等系统交换数据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任务 API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面向定时任务、批处理、对账、重试和补偿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 API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面向运维、监控、日志查询、接口状态管理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接口统一要求</w:t>
      </w:r>
    </w:p>
    <w:p>
      <w:r>
        <w:rPr>
          <w:rFonts w:ascii="宋体" w:hAnsi="宋体" w:eastAsia="宋体" w:cs="宋体"/>
          <w:sz w:val="28"/>
          <w:szCs w:val="28"/>
        </w:rPr>
        <w:t>- 对外正式接口采用 API + JSON。</w:t>
      </w:r>
    </w:p>
    <w:p>
      <w:r>
        <w:rPr>
          <w:rFonts w:ascii="宋体" w:hAnsi="宋体" w:eastAsia="宋体" w:cs="宋体"/>
          <w:sz w:val="28"/>
          <w:szCs w:val="28"/>
        </w:rPr>
        <w:t>- 优先使用 HTTPS。</w:t>
      </w:r>
    </w:p>
    <w:p>
      <w:r>
        <w:rPr>
          <w:rFonts w:ascii="宋体" w:hAnsi="宋体" w:eastAsia="宋体" w:cs="宋体"/>
          <w:sz w:val="28"/>
          <w:szCs w:val="28"/>
        </w:rPr>
        <w:t>- 请求和响应须包含业务标识、来源系统、组织编码、单据编号、操作时间和请求流水号。</w:t>
      </w:r>
    </w:p>
    <w:p>
      <w:r>
        <w:rPr>
          <w:rFonts w:ascii="宋体" w:hAnsi="宋体" w:eastAsia="宋体" w:cs="宋体"/>
          <w:sz w:val="28"/>
          <w:szCs w:val="28"/>
        </w:rPr>
        <w:t>- 接口必须有明确版本号、调用方、鉴权方式、失败处理和幂等策略。</w:t>
      </w:r>
    </w:p>
    <w:p>
      <w:r>
        <w:rPr>
          <w:rFonts w:ascii="宋体" w:hAnsi="宋体" w:eastAsia="宋体" w:cs="宋体"/>
          <w:sz w:val="28"/>
          <w:szCs w:val="28"/>
        </w:rPr>
        <w:t>- 接口日志应能够按接口 ID、来源单号、组织、状态、时间范围查询。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状态治理</w:t>
      </w:r>
    </w:p>
    <w:p>
      <w:r>
        <w:rPr>
          <w:rFonts w:ascii="宋体" w:hAnsi="宋体" w:eastAsia="宋体" w:cs="宋体"/>
          <w:sz w:val="28"/>
          <w:szCs w:val="28"/>
        </w:rPr>
        <w:t>接口状态不能混同业务状态、财务状态和期间状态。概要设计建议按四类状态分别维护。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示例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设计意义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草稿、待审、已审、已作废、已冲销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判断业务事实是否成立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待推送、推送中、成功、失败、已重推、已关闭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判断接口执行过程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财务处理状态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未接收、已接收、已记账、已退回、已冲销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 NC 侧处理结果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未结账、已结账、已反结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判断是否允许补录、重推和调整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7.4 幂等与重推</w:t>
      </w:r>
    </w:p>
    <w:p>
      <w:r>
        <w:rPr>
          <w:rFonts w:ascii="宋体" w:hAnsi="宋体" w:eastAsia="宋体" w:cs="宋体"/>
          <w:sz w:val="28"/>
          <w:szCs w:val="28"/>
        </w:rPr>
        <w:t>- 每次接口推送应生成唯一请求流水号。</w:t>
      </w:r>
    </w:p>
    <w:p>
      <w:r>
        <w:rPr>
          <w:rFonts w:ascii="宋体" w:hAnsi="宋体" w:eastAsia="宋体" w:cs="宋体"/>
          <w:sz w:val="28"/>
          <w:szCs w:val="28"/>
        </w:rPr>
        <w:t>- 同一业务事实重复推送时必须可识别，不得重复生成凭证或重复执行业务。</w:t>
      </w:r>
    </w:p>
    <w:p>
      <w:r>
        <w:rPr>
          <w:rFonts w:ascii="宋体" w:hAnsi="宋体" w:eastAsia="宋体" w:cs="宋体"/>
          <w:sz w:val="28"/>
          <w:szCs w:val="28"/>
        </w:rPr>
        <w:t>- 报文一致的重复推送可返回幂等成功。</w:t>
      </w:r>
    </w:p>
    <w:p>
      <w:r>
        <w:rPr>
          <w:rFonts w:ascii="宋体" w:hAnsi="宋体" w:eastAsia="宋体" w:cs="宋体"/>
          <w:sz w:val="28"/>
          <w:szCs w:val="28"/>
        </w:rPr>
        <w:t>- 报文不一致的重复推送应进入冲突处理，不允许静默覆盖。</w:t>
      </w:r>
    </w:p>
    <w:p>
      <w:r>
        <w:rPr>
          <w:rFonts w:ascii="宋体" w:hAnsi="宋体" w:eastAsia="宋体" w:cs="宋体"/>
          <w:sz w:val="28"/>
          <w:szCs w:val="28"/>
        </w:rPr>
        <w:t>- 已结账期间不得通过重推规避反结和审批流程。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7.5 异常与补偿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异常类型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网络超时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自动重试，达到阈值后告警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外部系统业务错误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记录错误码和错误描述，人工处理后重推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报文校验失败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阻断推送，提示业务或配置问题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幂等冲突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禁止覆盖，转人工复核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已接收未记账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进入对账异常，由财务和运维协同处理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期间已结账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走受控补录、反结或冲销流程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八、数据流与责任边界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8.1 主数据流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1612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8"/>
          <w:szCs w:val="28"/>
        </w:rPr>
        <w:t>主数据设计应遵守“上位来源明确、本地副本可追溯、业务引用稳定”的原则。</w:t>
      </w:r>
    </w:p>
    <w:p>
      <w:r>
        <w:rPr>
          <w:rFonts w:ascii="宋体" w:hAnsi="宋体" w:eastAsia="宋体" w:cs="宋体"/>
          <w:sz w:val="28"/>
          <w:szCs w:val="28"/>
        </w:rPr>
        <w:t>本节只说明主数据在架构中的流向和责任边界，主数据范围、权威来源、编码生命周期和映射完整性控制以 `03-主数据与编码概要设计-v0.1.md` 为准。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8.2 业务单据流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857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8"/>
          <w:szCs w:val="28"/>
        </w:rPr>
        <w:t>业务单据流以审批通过和业务事实成立为财务触发基础。</w:t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8.3 财务接口流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28678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0"/>
        <w:jc w:val="left"/>
      </w:pPr>
      <w:r>
        <w:rPr>
          <w:rFonts w:ascii="宋体" w:hAnsi="宋体" w:eastAsia="宋体" w:cs="宋体"/>
          <w:b/>
          <w:sz w:val="32"/>
          <w:szCs w:val="32"/>
        </w:rPr>
        <w:t>8.4 AI 查询流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28367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九、安全、权限与审计边界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9.1 安全边界</w:t>
      </w:r>
    </w:p>
    <w:p>
      <w:r>
        <w:rPr>
          <w:rFonts w:ascii="宋体" w:hAnsi="宋体" w:eastAsia="宋体" w:cs="宋体"/>
          <w:sz w:val="28"/>
          <w:szCs w:val="28"/>
        </w:rPr>
        <w:t>- 用户访问必须经过统一身份认证或受控登录入口。</w:t>
      </w:r>
    </w:p>
    <w:p>
      <w:r>
        <w:rPr>
          <w:rFonts w:ascii="宋体" w:hAnsi="宋体" w:eastAsia="宋体" w:cs="宋体"/>
          <w:sz w:val="28"/>
          <w:szCs w:val="28"/>
        </w:rPr>
        <w:t>- 外部系统调用必须经过接口鉴权。</w:t>
      </w:r>
    </w:p>
    <w:p>
      <w:r>
        <w:rPr>
          <w:rFonts w:ascii="宋体" w:hAnsi="宋体" w:eastAsia="宋体" w:cs="宋体"/>
          <w:sz w:val="28"/>
          <w:szCs w:val="28"/>
        </w:rPr>
        <w:t>- AI 平台调用必须携带可识别用户或服务身份。</w:t>
      </w:r>
    </w:p>
    <w:p>
      <w:r>
        <w:rPr>
          <w:rFonts w:ascii="宋体" w:hAnsi="宋体" w:eastAsia="宋体" w:cs="宋体"/>
          <w:sz w:val="28"/>
          <w:szCs w:val="28"/>
        </w:rPr>
        <w:t>- 数据库不向 AI 平台、招采平台或第三方系统直接开放。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9.2 权限边界</w:t>
      </w:r>
    </w:p>
    <w:p>
      <w:r>
        <w:rPr>
          <w:rFonts w:ascii="宋体" w:hAnsi="宋体" w:eastAsia="宋体" w:cs="宋体"/>
          <w:sz w:val="28"/>
          <w:szCs w:val="28"/>
        </w:rPr>
        <w:t>- 功能权限控制用户能做什么。</w:t>
      </w:r>
    </w:p>
    <w:p>
      <w:r>
        <w:rPr>
          <w:rFonts w:ascii="宋体" w:hAnsi="宋体" w:eastAsia="宋体" w:cs="宋体"/>
          <w:sz w:val="28"/>
          <w:szCs w:val="28"/>
        </w:rPr>
        <w:t>- 数据权限控制用户能看哪些组织、仓库、单据、供应商和报表。</w:t>
      </w:r>
    </w:p>
    <w:p>
      <w:r>
        <w:rPr>
          <w:rFonts w:ascii="宋体" w:hAnsi="宋体" w:eastAsia="宋体" w:cs="宋体"/>
          <w:sz w:val="28"/>
          <w:szCs w:val="28"/>
        </w:rPr>
        <w:t>- 审批权限控制用户能否审批、退回、加签、反结、重推、解除黑名单等。</w:t>
      </w:r>
    </w:p>
    <w:p>
      <w:r>
        <w:rPr>
          <w:rFonts w:ascii="宋体" w:hAnsi="宋体" w:eastAsia="宋体" w:cs="宋体"/>
          <w:sz w:val="28"/>
          <w:szCs w:val="28"/>
        </w:rPr>
        <w:t>- 导出权限和高敏感操作应单独控制。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9.3 审计边界</w:t>
      </w:r>
    </w:p>
    <w:p>
      <w:r>
        <w:rPr>
          <w:rFonts w:ascii="宋体" w:hAnsi="宋体" w:eastAsia="宋体" w:cs="宋体"/>
          <w:sz w:val="28"/>
          <w:szCs w:val="28"/>
        </w:rPr>
        <w:t>必须纳入审计的操作包括：</w:t>
      </w:r>
    </w:p>
    <w:p>
      <w:r>
        <w:rPr>
          <w:rFonts w:ascii="宋体" w:hAnsi="宋体" w:eastAsia="宋体" w:cs="宋体"/>
          <w:sz w:val="28"/>
          <w:szCs w:val="28"/>
        </w:rPr>
        <w:t>- 登录、退出、登录失败</w:t>
      </w:r>
    </w:p>
    <w:p>
      <w:r>
        <w:rPr>
          <w:rFonts w:ascii="宋体" w:hAnsi="宋体" w:eastAsia="宋体" w:cs="宋体"/>
          <w:sz w:val="28"/>
          <w:szCs w:val="28"/>
        </w:rPr>
        <w:t>- 物料新增、变更、停用</w:t>
      </w:r>
    </w:p>
    <w:p>
      <w:r>
        <w:rPr>
          <w:rFonts w:ascii="宋体" w:hAnsi="宋体" w:eastAsia="宋体" w:cs="宋体"/>
          <w:sz w:val="28"/>
          <w:szCs w:val="28"/>
        </w:rPr>
        <w:t>- 采购计划审批、调整、取消</w:t>
      </w:r>
    </w:p>
    <w:p>
      <w:r>
        <w:rPr>
          <w:rFonts w:ascii="宋体" w:hAnsi="宋体" w:eastAsia="宋体" w:cs="宋体"/>
          <w:sz w:val="28"/>
          <w:szCs w:val="28"/>
        </w:rPr>
        <w:t>- 合同审批、变更、终止</w:t>
      </w:r>
    </w:p>
    <w:p>
      <w:r>
        <w:rPr>
          <w:rFonts w:ascii="宋体" w:hAnsi="宋体" w:eastAsia="宋体" w:cs="宋体"/>
          <w:sz w:val="28"/>
          <w:szCs w:val="28"/>
        </w:rPr>
        <w:t>- 入库、出库、调拨、盘点、废旧处置</w:t>
      </w:r>
    </w:p>
    <w:p>
      <w:r>
        <w:rPr>
          <w:rFonts w:ascii="宋体" w:hAnsi="宋体" w:eastAsia="宋体" w:cs="宋体"/>
          <w:sz w:val="28"/>
          <w:szCs w:val="28"/>
        </w:rPr>
        <w:t>- 月结、反结、补录、冲销</w:t>
      </w:r>
    </w:p>
    <w:p>
      <w:r>
        <w:rPr>
          <w:rFonts w:ascii="宋体" w:hAnsi="宋体" w:eastAsia="宋体" w:cs="宋体"/>
          <w:sz w:val="28"/>
          <w:szCs w:val="28"/>
        </w:rPr>
        <w:t>- 接口推送、重推、关闭、异常处理</w:t>
      </w:r>
    </w:p>
    <w:p>
      <w:r>
        <w:rPr>
          <w:rFonts w:ascii="宋体" w:hAnsi="宋体" w:eastAsia="宋体" w:cs="宋体"/>
          <w:sz w:val="28"/>
          <w:szCs w:val="28"/>
        </w:rPr>
        <w:t>- 报表导出、附件下载</w:t>
      </w:r>
    </w:p>
    <w:p>
      <w:r>
        <w:rPr>
          <w:rFonts w:ascii="宋体" w:hAnsi="宋体" w:eastAsia="宋体" w:cs="宋体"/>
          <w:sz w:val="28"/>
          <w:szCs w:val="28"/>
        </w:rPr>
        <w:t>- AI Tool 调用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十、部署与运行约束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约束项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部署方式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私有化部署，不接受纯 SaaS 公有云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数据库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独立数据库，PostgreSQL 兼容国产信创数据库优先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操作系统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支持国产 Linux 环境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浏览器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兼容主流国产浏览器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接口协议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HTTP/HTTPS，优先 HTTPS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外部依赖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关键依赖须可管控、可审计、可持续运维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数据备份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支持数据库备份、附件备份和日志归档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监控告警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覆盖应用、接口、任务、数据库、磁盘和异常错误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运维支持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支持远程和现场运维，问题处理全过程留痕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十一、详细设计阶段需进一步明确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最终技术栈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招标不强制开发语言；详细设计阶段需结合供应商方案确定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数据库产品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达梦、人大金仓、瀚高等具体产品和 SQL 差异需结合实施环境确认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网关规范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集团统一 API 网关由网信办提供具体联调规范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SSO 协议细节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Token、用户信息字段、组织字段、权限字段需对接 Nova 文档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组织与 NC 核算组织映射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需要形成初始化台账和变更维护流程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计量单位统一字典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需要明确归口、字典范围、映射关系和变更审批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接口字段全集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本阶段明确接口范围和治理规则，字段全集在接口详细设计中固化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日志保留周期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结合集团运维、安全和审计制度确定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十二、一句话结论</w:t>
      </w:r>
    </w:p>
    <w:p>
      <w:r>
        <w:rPr>
          <w:rFonts w:ascii="宋体" w:hAnsi="宋体" w:eastAsia="宋体" w:cs="宋体"/>
          <w:sz w:val="28"/>
          <w:szCs w:val="28"/>
        </w:rPr>
        <w:t>一期总体架构应坚持独立部署、统一身份、受控接口、业务闭环和日志可追溯。系统内部围绕物资实物流转组织业务能力，对外通过 API + JSON 与 Nova Platform、NC、招采平台和统一 AI 平台低耦合集成，为后续业务模块概要设计、主数据设计、权限审批设计和 NC 接口设计提供统一技术边界。</w:t>
      </w:r>
    </w:p>
    <w:sectPr w:rsidR="00FC693F" w:rsidRPr="0006063C" w:rsidSect="00034616">
      <w:headerReference w:type="default" r:id="rId15"/>
      <w:headerReference w:type="first" r:id="rId16"/>
      <w:headerReference w:type="even" r:id="rId17"/>
      <w:footerReference w:type="default" r:id="rId18"/>
      <w:footerReference w:type="first" r:id="rId19"/>
      <w:footerReference w:type="even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