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业务模块概要设计（V0.1）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上位文档：</w:t>
      </w:r>
      <w:r>
        <w:rPr>
          <w:rFonts w:ascii="宋体" w:hAnsi="宋体" w:eastAsia="宋体" w:cs="宋体"/>
          <w:sz w:val="28"/>
          <w:szCs w:val="28"/>
        </w:rPr>
        <w:t xml:space="preserve"> `00-概要设计总览-v0.1.md`、`01-总体架构与集成边界-v0.1.md`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概要设计专题文档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本文档用于对物资供应管理系统一期 15 个业务模块进行概要设计，明确各模块的职责边界、上下游关系、关键业务对象、核心状态和跨模块协同方式。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一期 15 个模块分别负责什么</w:t>
      </w:r>
    </w:p>
    <w:p>
      <w:r>
        <w:rPr>
          <w:rFonts w:ascii="宋体" w:hAnsi="宋体" w:eastAsia="宋体" w:cs="宋体"/>
          <w:sz w:val="28"/>
          <w:szCs w:val="28"/>
        </w:rPr>
        <w:t>- 每个模块不负责什么，避免边界混乱</w:t>
      </w:r>
    </w:p>
    <w:p>
      <w:r>
        <w:rPr>
          <w:rFonts w:ascii="宋体" w:hAnsi="宋体" w:eastAsia="宋体" w:cs="宋体"/>
          <w:sz w:val="28"/>
          <w:szCs w:val="28"/>
        </w:rPr>
        <w:t>- 模块之间如何传递业务对象和状态</w:t>
      </w:r>
    </w:p>
    <w:p>
      <w:r>
        <w:rPr>
          <w:rFonts w:ascii="宋体" w:hAnsi="宋体" w:eastAsia="宋体" w:cs="宋体"/>
          <w:sz w:val="28"/>
          <w:szCs w:val="28"/>
        </w:rPr>
        <w:t>- 哪些单据会影响库存、合同、付款或财务接口</w:t>
      </w:r>
    </w:p>
    <w:p>
      <w:r>
        <w:rPr>
          <w:rFonts w:ascii="宋体" w:hAnsi="宋体" w:eastAsia="宋体" w:cs="宋体"/>
          <w:sz w:val="28"/>
          <w:szCs w:val="28"/>
        </w:rPr>
        <w:t>- 后续详细设计应从哪些对象、流程和状态继续下钻</w:t>
      </w:r>
    </w:p>
    <w:p>
      <w:r>
        <w:rPr>
          <w:rFonts w:ascii="宋体" w:hAnsi="宋体" w:eastAsia="宋体" w:cs="宋体"/>
          <w:sz w:val="28"/>
          <w:szCs w:val="28"/>
        </w:rPr>
        <w:t>本文档不直接固化页面原型、数据库表结构、接口字段和审批节点人员配置。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`docs/需求梳理/01-项目目标与范围说明-V1.0.md`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明确一期建设范围和系统边界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`docs/需求梳理/02-业务流程与单据清单-V1.0.md`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明确核心流程、单据体系和库存/财务影响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`docs/需求梳理/06-模块功能清单（需求沟通版）-V1.0.md`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15 个一期模块及功能范围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`docs/需求梳理/07-角色权限与审批矩阵-V1.0.md`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明确角色、权限、审批和高敏感场景控制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`docs/招标/物资供应管理系统招标技术要求-v1.1.md`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明确外发招标约束和供应商实施边界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`docs/招标/附件二-接口清单及报文示例-v1.1.md`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NC 接口范围、状态、幂等和对账要求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三、模块划分原则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以业务闭环划分</w:t>
      </w:r>
    </w:p>
    <w:p>
      <w:r>
        <w:rPr>
          <w:rFonts w:ascii="宋体" w:hAnsi="宋体" w:eastAsia="宋体" w:cs="宋体"/>
          <w:sz w:val="28"/>
          <w:szCs w:val="28"/>
        </w:rPr>
        <w:t>模块划分以“需求计划 → 招投标 → 合同 → 到货入库 → 库存流转 → 财务接口 → 报表预警”为主线，避免单纯按页面或岗位切分。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以主数据作为底座</w:t>
      </w:r>
    </w:p>
    <w:p>
      <w:r>
        <w:rPr>
          <w:rFonts w:ascii="宋体" w:hAnsi="宋体" w:eastAsia="宋体" w:cs="宋体"/>
          <w:sz w:val="28"/>
          <w:szCs w:val="28"/>
        </w:rPr>
        <w:t>组织、仓库、物料、供应商、计量单位、成本中心和 NC 映射是所有业务模块的基础。业务模块不得绕过主数据直接维护另一套基础口径。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以单据驱动库存和财务</w:t>
      </w:r>
    </w:p>
    <w:p>
      <w:r>
        <w:rPr>
          <w:rFonts w:ascii="宋体" w:hAnsi="宋体" w:eastAsia="宋体" w:cs="宋体"/>
          <w:sz w:val="28"/>
          <w:szCs w:val="28"/>
        </w:rPr>
        <w:t>库存增减、合同履约、付款计划和 NC 接口都应由合法业务单据驱动。已审核业务事实不得被随意覆盖。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3.4 以权限和审计贯穿全系统</w:t>
      </w:r>
    </w:p>
    <w:p>
      <w:r>
        <w:rPr>
          <w:rFonts w:ascii="宋体" w:hAnsi="宋体" w:eastAsia="宋体" w:cs="宋体"/>
          <w:sz w:val="28"/>
          <w:szCs w:val="28"/>
        </w:rPr>
        <w:t>每个模块都必须接入角色权限、数据权限、审批流和日志审计，尤其是月结、反结、盘亏、报废、火工品、接口重推、合同变更等高敏感场景。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3.5 以一期可落地为边界</w:t>
      </w:r>
    </w:p>
    <w:p>
      <w:r>
        <w:rPr>
          <w:rFonts w:ascii="宋体" w:hAnsi="宋体" w:eastAsia="宋体" w:cs="宋体"/>
          <w:sz w:val="28"/>
          <w:szCs w:val="28"/>
        </w:rPr>
        <w:t>一期模块设计应保证核心闭环可运行，复杂 BI、深度招采直连、复杂租赁计费、合同条款库、电子签约等可作为二期增强。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四、一期模块全景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一期 15 个模块建议按 6 个能力域组织。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能力域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基础底座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1. 基础档案与组织仓库管理；2. 物料主数据与编码管理；15. 系统管理与基础支撑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计划采购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3. 需求提报与采购计划管理；4. 招投标管理；12. 供应商管理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合同资金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10. 合同管理；11. 资金计划管理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库存业务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5. 采购到货与入库管理；6. 库存领用与退料调拨管理；7. 盘点与废旧处置管理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8. 设备管理；9. 设备租赁管理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业财分析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13. 财务与 NC 接口管理；14. 报表预警与查询分析；统一 AI 能力开放</w:t>
            </w:r>
          </w:p>
        </w:tc>
      </w:tr>
    </w:tbl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1815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1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五、模块概要设计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基础档案与组织仓库管理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全系统基础档案底座，负责组织、仓库、库区货位、计量单位、供应商基础档案、成本中心和组织仓库关系等基础数据维护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维护基础档案；支撑库存归属、数据权限、成本归集、报表维度和接口映射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 Nova Platform 的组织和人员权威来源；不承担供应商深度考评和黑名单规则的全部业务管理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Nova Platform 组织人员数据、NC 成本中心/核算组织口径、集团基础制度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物料主数据、采购计划、库存、设备、合同、权限、报表、NC 接口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组织、仓库、库区、货位、计量单位、成本中心、使用单位、组织仓库关系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基础档案变更须留痕；影响历史业务的档案不得物理删除；组织和仓库必须支持数据权限过滤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本模块只定义基础档案在业务模块中的职责、输入输出和控制点。</w:t>
      </w:r>
    </w:p>
    <w:p>
      <w:r>
        <w:rPr>
          <w:rFonts w:ascii="宋体" w:hAnsi="宋体" w:eastAsia="宋体" w:cs="宋体"/>
          <w:sz w:val="28"/>
          <w:szCs w:val="28"/>
        </w:rPr>
        <w:t>- 组织、仓库、计量单位、成本中心和供应商档案的权威来源、维护边界、映射规则以 `03-主数据与编码概要设计-v0.1.md` 为准。</w:t>
      </w:r>
    </w:p>
    <w:p>
      <w:r>
        <w:rPr>
          <w:rFonts w:ascii="宋体" w:hAnsi="宋体" w:eastAsia="宋体" w:cs="宋体"/>
          <w:sz w:val="28"/>
          <w:szCs w:val="28"/>
        </w:rPr>
        <w:t>- 供应商准入、考评和黑名单的业务规则以本文件 `5.12 供应商管理` 为准，不在基础档案模块重复展开。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物料主数据与编码管理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全系统最核心的主数据模块，负责物料分类、编码、属性、生命周期和 NC 存货映射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物料新增、变更、停用；一物一码；分类属性维护；批次/保质期/危险品属性；NC 映射；条码二维码基础信息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不负责库存数量变化；不直接生成财务凭证；不直接替代 NC 存货档案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业务单位新增需求、物资管理分类规则、编码规范、NC 存货口径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采购计划、招投标、合同、入库、出库、盘点、设备、报表、NC 接口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物料分类、物料主数据、物料编码、物料属性、NC 存货映射、条码二维码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编码只增不改；停用不删除；新增和变更须审批；特殊物资属性须受控维护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本模块只定义“物料主数据与编码管理”作为业务模块应承担的职责。</w:t>
      </w:r>
    </w:p>
    <w:p>
      <w:r>
        <w:rPr>
          <w:rFonts w:ascii="宋体" w:hAnsi="宋体" w:eastAsia="宋体" w:cs="宋体"/>
          <w:sz w:val="28"/>
          <w:szCs w:val="28"/>
        </w:rPr>
        <w:t>- 编码结构、生命周期、查重、审批、特殊属性、NC 存货映射和辽宁能源集团编码预留以 `03-主数据与编码概要设计-v0.1.md` 为准。</w:t>
      </w:r>
    </w:p>
    <w:p>
      <w:r>
        <w:rPr>
          <w:rFonts w:ascii="宋体" w:hAnsi="宋体" w:eastAsia="宋体" w:cs="宋体"/>
          <w:sz w:val="28"/>
          <w:szCs w:val="28"/>
        </w:rPr>
        <w:t>- 后续详细设计应基于 `03` 再下钻字段模板、导入模板、校验规则和初始化治理计划。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需求提报与采购计划管理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从基层需求到正式采购计划的入口模块，是采购链路起点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需求提报、需求汇总、库存校核、采购计划编制、计划审批、计划分解、计划调整和计划外紧急采购留痕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不直接完成供应商选定；不直接生成合同；不直接影响库存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使用单位/区队需求、库存可用量、历史消耗、预算或专项计划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招投标管理、采购执行、合同管理、报表统计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需求提报单、采购计划、计划调整单、新品计划申报、采购任务单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库存充足提示；计划审批留痕；计划变更留痕；紧急采购补审批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需求提报必须关联使用单位、用途、期望时间和物料主数据。</w:t>
      </w:r>
    </w:p>
    <w:p>
      <w:r>
        <w:rPr>
          <w:rFonts w:ascii="宋体" w:hAnsi="宋体" w:eastAsia="宋体" w:cs="宋体"/>
          <w:sz w:val="28"/>
          <w:szCs w:val="28"/>
        </w:rPr>
        <w:t>- 计划编制应支持月度、季度、年度、专项、调整等类型。</w:t>
      </w:r>
    </w:p>
    <w:p>
      <w:r>
        <w:rPr>
          <w:rFonts w:ascii="宋体" w:hAnsi="宋体" w:eastAsia="宋体" w:cs="宋体"/>
          <w:sz w:val="28"/>
          <w:szCs w:val="28"/>
        </w:rPr>
        <w:t>- 采购计划审批通过后，应能分解为采购任务并进入招投标或采购执行链路。</w:t>
      </w:r>
    </w:p>
    <w:p>
      <w:r>
        <w:rPr>
          <w:rFonts w:ascii="宋体" w:hAnsi="宋体" w:eastAsia="宋体" w:cs="宋体"/>
          <w:sz w:val="28"/>
          <w:szCs w:val="28"/>
        </w:rPr>
        <w:t>- 计划执行情况应能按完成率、到货率、调整次数、计划外占比等维度查询。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5.4 招投标管理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衔接采购计划和合同管理，负责采购方式分流、采购文件生成、平台协同和结果归档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招标申请、采购方式管理、标包管理、采购文件生成/导出/上传、招采平台结果导入、结果归档、合同联动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不替代能源集团招采平台的公告、投标、开标、评标和公示过程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已审批采购计划、合格供应商、物料和采购方式规则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合同管理、供应商管理、物料价格回写、审计追溯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招标申请、采购方式、标包、采购文件、评标报告附件、中标/成交结果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采购计划必须关联；供应商准入控制；结果回传留痕；采购方式变更留痕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采购计划审批通过后可按采购方式进入招投标模块。</w:t>
      </w:r>
    </w:p>
    <w:p>
      <w:r>
        <w:rPr>
          <w:rFonts w:ascii="宋体" w:hAnsi="宋体" w:eastAsia="宋体" w:cs="宋体"/>
          <w:sz w:val="28"/>
          <w:szCs w:val="28"/>
        </w:rPr>
        <w:t>- 一期支持采购文件导出/上传、结果导入和附件归档。</w:t>
      </w:r>
    </w:p>
    <w:p>
      <w:r>
        <w:rPr>
          <w:rFonts w:ascii="宋体" w:hAnsi="宋体" w:eastAsia="宋体" w:cs="宋体"/>
          <w:sz w:val="28"/>
          <w:szCs w:val="28"/>
        </w:rPr>
        <w:t>- 招采平台深度直连、自动上传、流程穿透和自动结果同步作为二期增强。</w:t>
      </w:r>
    </w:p>
    <w:p>
      <w:r>
        <w:rPr>
          <w:rFonts w:ascii="宋体" w:hAnsi="宋体" w:eastAsia="宋体" w:cs="宋体"/>
          <w:sz w:val="28"/>
          <w:szCs w:val="28"/>
        </w:rPr>
        <w:t>- 中标/成交结果应能回写合同模块，并可回写物料采购价格历史。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5.5 采购到货与入库管理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采购执行到库存增加的核心模块，形成入库和财务触发的源头业务事实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采购申请、采购订单、到货登记、验收、质检、采购入库、采购退货、入库照片、发票匹配辅助、暂估标识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不直接执行付款；不替代 NC 记账；不负责供应商最终考评规则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合同、采购订单、供应商送货、质检结果、发票信息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库存台账、合同履约、资金计划、NC 接口、报表预警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采购申请、采购订单、到货验收单、质检单、采购入库单、采购退货单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入库审核后增加库存；退货必须关联原入库；大型设备直达验收需单独记录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到货、验收、质检、入库应按场景支持分步处理。</w:t>
      </w:r>
    </w:p>
    <w:p>
      <w:r>
        <w:rPr>
          <w:rFonts w:ascii="宋体" w:hAnsi="宋体" w:eastAsia="宋体" w:cs="宋体"/>
          <w:sz w:val="28"/>
          <w:szCs w:val="28"/>
        </w:rPr>
        <w:t>- 采购入库单审核通过后影响库存，并按条件生成 NC 接口任务。</w:t>
      </w:r>
    </w:p>
    <w:p>
      <w:r>
        <w:rPr>
          <w:rFonts w:ascii="宋体" w:hAnsi="宋体" w:eastAsia="宋体" w:cs="宋体"/>
          <w:sz w:val="28"/>
          <w:szCs w:val="28"/>
        </w:rPr>
        <w:t>- 发票未到时可进入暂估处理链路。</w:t>
      </w:r>
    </w:p>
    <w:p>
      <w:r>
        <w:rPr>
          <w:rFonts w:ascii="宋体" w:hAnsi="宋体" w:eastAsia="宋体" w:cs="宋体"/>
          <w:sz w:val="28"/>
          <w:szCs w:val="28"/>
        </w:rPr>
        <w:t>- 入库照片、质检记录、验收意见和退货原因必须可追溯。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5.6 库存领用与退料调拨管理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库存减少、回补和流转的日常核心模块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领料申请、领料审批、领料出库、退料入库、仓间调拨、组织间调拨、物资移拨、成本中心归集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不负责采购计划编制；不直接处理财务凭证；不改变已结账期间业务事实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库存台账、使用单位需求、成本中心、审批结果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库存台账、NC 接口、成本归集、报表、AI 查询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领料申请单、领料出库单、退料入库单、调拨申请单、调拨单、移拨记录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出库审核后减少库存；退料必须关联原领料；跨组织调拨区分调出和调入；权属变更须审批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常规领料应先申请后出库，应急直发可受控补单。</w:t>
      </w:r>
    </w:p>
    <w:p>
      <w:r>
        <w:rPr>
          <w:rFonts w:ascii="宋体" w:hAnsi="宋体" w:eastAsia="宋体" w:cs="宋体"/>
          <w:sz w:val="28"/>
          <w:szCs w:val="28"/>
        </w:rPr>
        <w:t>- 领料出库必须关联成本中心或用途，用于后续财务归集。</w:t>
      </w:r>
    </w:p>
    <w:p>
      <w:r>
        <w:rPr>
          <w:rFonts w:ascii="宋体" w:hAnsi="宋体" w:eastAsia="宋体" w:cs="宋体"/>
          <w:sz w:val="28"/>
          <w:szCs w:val="28"/>
        </w:rPr>
        <w:t>- 退料入库应关联原领料单，批次物料须校验批次。</w:t>
      </w:r>
    </w:p>
    <w:p>
      <w:r>
        <w:rPr>
          <w:rFonts w:ascii="宋体" w:hAnsi="宋体" w:eastAsia="宋体" w:cs="宋体"/>
          <w:sz w:val="28"/>
          <w:szCs w:val="28"/>
        </w:rPr>
        <w:t>- 调拨应区分同组织仓间调拨、跨组织调拨和仅保管位置变化的移拨。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5.7 盘点与废旧处置管理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保证账实一致和处置合规的库存控制模块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盘点任务、盘点录入、盘盈盘亏、差异审批、呆滞识别、废旧认定、报废/回收/变卖/销毁处置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不替代财务资产减值或总账处理；不直接决定处置收入入账规则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库存台账、盘点结果、废旧认定、危险品台账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库存调整、NC 接口、报表预警、审计追溯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盘点任务单、盘点单、盘盈处理单、盘亏处理单、废旧认定单、处置结果登记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盘盈盘亏审批后调整库存；危险品销毁专项审批；处置收入和损失留痕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盘点应支持定期、临时、局部和专项盘点。</w:t>
      </w:r>
    </w:p>
    <w:p>
      <w:r>
        <w:rPr>
          <w:rFonts w:ascii="宋体" w:hAnsi="宋体" w:eastAsia="宋体" w:cs="宋体"/>
          <w:sz w:val="28"/>
          <w:szCs w:val="28"/>
        </w:rPr>
        <w:t>- 盘点期间是否冻结库存应作为实施配置项。</w:t>
      </w:r>
    </w:p>
    <w:p>
      <w:r>
        <w:rPr>
          <w:rFonts w:ascii="宋体" w:hAnsi="宋体" w:eastAsia="宋体" w:cs="宋体"/>
          <w:sz w:val="28"/>
          <w:szCs w:val="28"/>
        </w:rPr>
        <w:t>- 盘亏、报废、销毁按金额、品类和危险等级升级审批。</w:t>
      </w:r>
    </w:p>
    <w:p>
      <w:r>
        <w:rPr>
          <w:rFonts w:ascii="宋体" w:hAnsi="宋体" w:eastAsia="宋体" w:cs="宋体"/>
          <w:sz w:val="28"/>
          <w:szCs w:val="28"/>
        </w:rPr>
        <w:t>- 废旧处置应区分报废、回收、变卖、销毁四类。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5.8 设备管理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对设备形成台账、状态、权属、来源、检修和处置的生命周期管理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设备分类、设备台账、权属变更、来源关联、状态管理、领用投用、调拨、维修保养、检修、报废处置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不建设完整独立资产管理系统；不替代财务固定资产系统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采购入库、直达验收、资产标识、使用单位、设备管理部门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设备租赁、库存追溯、合同、报表、审计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设备档案、设备状态记录、权属变更单、维修保养记录、检修单、报废处置记录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设备状态变更留痕；跨组织调拨审批；报废与关联资产处置留痕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设备以台账方式管理，重点记录来源、权属、位置、状态、责任人和关联资产标识。</w:t>
      </w:r>
    </w:p>
    <w:p>
      <w:r>
        <w:rPr>
          <w:rFonts w:ascii="宋体" w:hAnsi="宋体" w:eastAsia="宋体" w:cs="宋体"/>
          <w:sz w:val="28"/>
          <w:szCs w:val="28"/>
        </w:rPr>
        <w:t>- 一期保留资产关联能力，不把资产系统全部纳入本项目范围。</w:t>
      </w:r>
    </w:p>
    <w:p>
      <w:r>
        <w:rPr>
          <w:rFonts w:ascii="宋体" w:hAnsi="宋体" w:eastAsia="宋体" w:cs="宋体"/>
          <w:sz w:val="28"/>
          <w:szCs w:val="28"/>
        </w:rPr>
        <w:t>- 设备调拨、停启用、检修、报废应形成完整过程记录。</w:t>
      </w:r>
    </w:p>
    <w:p>
      <w:r>
        <w:rPr>
          <w:rFonts w:ascii="宋体" w:hAnsi="宋体" w:eastAsia="宋体" w:cs="宋体"/>
          <w:sz w:val="28"/>
          <w:szCs w:val="28"/>
        </w:rPr>
        <w:t>- 设备可与采购入库、合同、租赁、报表形成关联。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5.9 设备租赁管理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管理租赁设备从申请、起租、在租、续租、停租、退租到费用汇总的闭环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租赁申请、合同关联、起租登记、在租状态、续租、停租、退租、交接确认、月度费用汇总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不直接执行付款；不替代 NC 应付核算；不处理复杂经营性租赁深度分析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租赁合同、供应商、设备档案、使用单位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资金计划、合同管理、供应商管理、报表预警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租赁申请单、租赁登记单、起租单、续租单、停租单、退租单、租赁费用汇总表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起租/续租/停租/退租状态受控；费用汇总可追溯；退租交接留痕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租赁设备必须关联合同、供应商、使用单位和设备档案。</w:t>
      </w:r>
    </w:p>
    <w:p>
      <w:r>
        <w:rPr>
          <w:rFonts w:ascii="宋体" w:hAnsi="宋体" w:eastAsia="宋体" w:cs="宋体"/>
          <w:sz w:val="28"/>
          <w:szCs w:val="28"/>
        </w:rPr>
        <w:t>- 月度租赁费用汇总结果应推送资金计划模块作为付款依据。</w:t>
      </w:r>
    </w:p>
    <w:p>
      <w:r>
        <w:rPr>
          <w:rFonts w:ascii="宋体" w:hAnsi="宋体" w:eastAsia="宋体" w:cs="宋体"/>
          <w:sz w:val="28"/>
          <w:szCs w:val="28"/>
        </w:rPr>
        <w:t>- 实际付款执行仍由 NC 或财务系统负责。</w:t>
      </w:r>
    </w:p>
    <w:p>
      <w:r>
        <w:rPr>
          <w:rFonts w:ascii="宋体" w:hAnsi="宋体" w:eastAsia="宋体" w:cs="宋体"/>
          <w:sz w:val="28"/>
          <w:szCs w:val="28"/>
        </w:rPr>
        <w:t>- 复杂租金结算、检修停租联动、多类型计费规则可作为二期增强。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5.10 合同管理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采购合同全生命周期管理和付款条款来源模块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合同审批会签、合同登记、合同与计划/招采/订单/入库关联、付款条款定义、履约跟踪、到期预警、合同变更和终止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不直接执行付款；不替代电子签约平台；不直接生成库存变化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招投标结果、采购计划、供应商、物料和合同文本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采购入库、资金计划、付款申请、NC 实付回写、报表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合同审批会签单、合同登记单、合同条款、付款节点、合同变更单、合同终止单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合同变更终止审批留痕；付款条款统一来源；合同金额和付款节点控制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合同必须关联供应商、采购计划、招投标结果和采购范围。</w:t>
      </w:r>
    </w:p>
    <w:p>
      <w:r>
        <w:rPr>
          <w:rFonts w:ascii="宋体" w:hAnsi="宋体" w:eastAsia="宋体" w:cs="宋体"/>
          <w:sz w:val="28"/>
          <w:szCs w:val="28"/>
        </w:rPr>
        <w:t>- 付款条款和付款节点应在合同模块定义，并同步到资金计划模块。</w:t>
      </w:r>
    </w:p>
    <w:p>
      <w:r>
        <w:rPr>
          <w:rFonts w:ascii="宋体" w:hAnsi="宋体" w:eastAsia="宋体" w:cs="宋体"/>
          <w:sz w:val="28"/>
          <w:szCs w:val="28"/>
        </w:rPr>
        <w:t>- 合同履约进度应关联入库、验收和付款执行数据。</w:t>
      </w:r>
    </w:p>
    <w:p>
      <w:r>
        <w:rPr>
          <w:rFonts w:ascii="宋体" w:hAnsi="宋体" w:eastAsia="宋体" w:cs="宋体"/>
          <w:sz w:val="28"/>
          <w:szCs w:val="28"/>
        </w:rPr>
        <w:t>- 合同到期、未执行、超期和风险点应纳入预警。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5.11 资金计划管理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将合同付款条款转化为付款计划、付款申请和支付进度跟踪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付款计划生成、月度预支付汇总、付款申请、付款条件校验、付款审批、付款台账、实付结果回写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 NC 实际付款、应付核算和记账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合同付款条款、入库验收、发票、供应商、NC 实付结果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接口、合同台账、报表预警、管理汇总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付款计划单、月度预支付汇总表、付款申请单、付款审批记录、付款执行台账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付款金额不得超合同和节点上限；条件不满足不得提交；实付结果以 NC 回写为准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付款计划必须来源于合同条款，不应在资金计划模块另建一套付款规则。</w:t>
      </w:r>
    </w:p>
    <w:p>
      <w:r>
        <w:rPr>
          <w:rFonts w:ascii="宋体" w:hAnsi="宋体" w:eastAsia="宋体" w:cs="宋体"/>
          <w:sz w:val="28"/>
          <w:szCs w:val="28"/>
        </w:rPr>
        <w:t>- 付款申请应校验合同状态、入库验收、发票、付款比例和累计金额。</w:t>
      </w:r>
    </w:p>
    <w:p>
      <w:r>
        <w:rPr>
          <w:rFonts w:ascii="宋体" w:hAnsi="宋体" w:eastAsia="宋体" w:cs="宋体"/>
          <w:sz w:val="28"/>
          <w:szCs w:val="28"/>
        </w:rPr>
        <w:t>- 月度预支付汇总应支持按组织、供应商、合同、到期时间统计。</w:t>
      </w:r>
    </w:p>
    <w:p>
      <w:r>
        <w:rPr>
          <w:rFonts w:ascii="宋体" w:hAnsi="宋体" w:eastAsia="宋体" w:cs="宋体"/>
          <w:sz w:val="28"/>
          <w:szCs w:val="28"/>
        </w:rPr>
        <w:t>- 实付结果回写后同步更新合同台账和付款进度。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5.12 供应商管理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供应商准入、分类、资质、考评和黑名单控制模块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供应商档案、分类管理、资质文件、资质过期提醒、合格供应商准入、考评、黑名单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不替代集团供应商统一平台；不在一期实现复杂评分模型和深度供应链分析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采购人员、集团物资管理、资质材料、履约和质检结果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招投标、采购、合同、报表、预警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供应商档案、资质文件、供应商分类、考评记录、黑名单记录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非合格供应商不得参与采购；资质过期提醒；黑名单解除审批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供应商分类至少包括潜在、合格、负面。</w:t>
      </w:r>
    </w:p>
    <w:p>
      <w:r>
        <w:rPr>
          <w:rFonts w:ascii="宋体" w:hAnsi="宋体" w:eastAsia="宋体" w:cs="宋体"/>
          <w:sz w:val="28"/>
          <w:szCs w:val="28"/>
        </w:rPr>
        <w:t>- 招投标和采购模块应校验供应商准入状态。</w:t>
      </w:r>
    </w:p>
    <w:p>
      <w:r>
        <w:rPr>
          <w:rFonts w:ascii="宋体" w:hAnsi="宋体" w:eastAsia="宋体" w:cs="宋体"/>
          <w:sz w:val="28"/>
          <w:szCs w:val="28"/>
        </w:rPr>
        <w:t>- 供应商资质有效期应纳入提醒。</w:t>
      </w:r>
    </w:p>
    <w:p>
      <w:r>
        <w:rPr>
          <w:rFonts w:ascii="宋体" w:hAnsi="宋体" w:eastAsia="宋体" w:cs="宋体"/>
          <w:sz w:val="28"/>
          <w:szCs w:val="28"/>
        </w:rPr>
        <w:t>- 黑名单列入和解除必须审批留痕。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5.13 财务与 NC 接口管理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物资系统与 NC 财务系统业财协同的接口管理模块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主数据映射、业务单据推送、接口任务、接口状态、回执处理、失败重推、异常台账、对账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 NC 记账和总账；不直接修改 NC 数据；不绕过审批处理已结账期间业务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已审核业务单据、主数据映射、合同和付款结果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财务系统、报表、对账、异常处理、运维监控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接口任务、接口报文、接口回执、接口日志、重推记录、对账记录、异常台账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 + JSON；幂等；失败重试；人工重推；已结账期间受控；接口日志完整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本模块只定义财务与 NC 接口管理在业务模块中的职责边界。</w:t>
      </w:r>
    </w:p>
    <w:p>
      <w:r>
        <w:rPr>
          <w:rFonts w:ascii="宋体" w:hAnsi="宋体" w:eastAsia="宋体" w:cs="宋体"/>
          <w:sz w:val="28"/>
          <w:szCs w:val="28"/>
        </w:rPr>
        <w:t>- 接口范围、接口治理、状态矩阵和对账封账规则以 `01-总体架构与集成边界-v0.1.md` 及 `05-NC接口与对账概要设计-v0.1.md` 为准。</w:t>
      </w:r>
    </w:p>
    <w:p>
      <w:r>
        <w:rPr>
          <w:rFonts w:ascii="宋体" w:hAnsi="宋体" w:eastAsia="宋体" w:cs="宋体"/>
          <w:sz w:val="28"/>
          <w:szCs w:val="28"/>
        </w:rPr>
        <w:t>- 接口状态、业务状态、财务处理状态、期间状态必须分层维护。</w:t>
      </w:r>
    </w:p>
    <w:p>
      <w:r>
        <w:rPr>
          <w:rFonts w:ascii="宋体" w:hAnsi="宋体" w:eastAsia="宋体" w:cs="宋体"/>
          <w:sz w:val="28"/>
          <w:szCs w:val="28"/>
        </w:rPr>
        <w:t>- 接口失败应支持自动重试和人工重推。</w:t>
      </w:r>
    </w:p>
    <w:p>
      <w:r>
        <w:rPr>
          <w:rFonts w:ascii="宋体" w:hAnsi="宋体" w:eastAsia="宋体" w:cs="宋体"/>
          <w:sz w:val="28"/>
          <w:szCs w:val="28"/>
        </w:rPr>
        <w:t>- 幂等冲突、已结账期间调整、NC 已接收未记账等场景必须进入异常处理。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5.14 报表预警与查询分析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面向管理层、物资部门、仓储、财务和审计的基础查询、报表和预警模块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库存余额、收发存、采购入库、领料、调拨、盘点、废旧、接口失败、暂估未冲销、呆滞、低库存、合同风险等报表和预警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一期不建设复杂 BI 驾驶舱；不绕过权限直接展示跨组织明细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主数据、业务单据、库存台账、合同、接口日志、付款记录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管理查询、AI Tool、审计、经营分析、整改跟踪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报表定义、查询条件、预警规则、导出记录、追溯链路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数据权限过滤；导出留痕；预警规则可配置；查询结果可追溯来源单据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基础报表和基础预警必须一期可用。</w:t>
      </w:r>
    </w:p>
    <w:p>
      <w:r>
        <w:rPr>
          <w:rFonts w:ascii="宋体" w:hAnsi="宋体" w:eastAsia="宋体" w:cs="宋体"/>
          <w:sz w:val="28"/>
          <w:szCs w:val="28"/>
        </w:rPr>
        <w:t>- 报表应支持组织、仓库、物料、供应商、合同、期间等维度过滤。</w:t>
      </w:r>
    </w:p>
    <w:p>
      <w:r>
        <w:rPr>
          <w:rFonts w:ascii="宋体" w:hAnsi="宋体" w:eastAsia="宋体" w:cs="宋体"/>
          <w:sz w:val="28"/>
          <w:szCs w:val="28"/>
        </w:rPr>
        <w:t>- 关键导出应记录导出人、时间、条件和范围。</w:t>
      </w:r>
    </w:p>
    <w:p>
      <w:r>
        <w:rPr>
          <w:rFonts w:ascii="宋体" w:hAnsi="宋体" w:eastAsia="宋体" w:cs="宋体"/>
          <w:sz w:val="28"/>
          <w:szCs w:val="28"/>
        </w:rPr>
        <w:t>- AI 查询能力应复用报表和业务查询能力，并遵守同一数据权限。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5.15 系统管理与基础支撑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模块定位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支撑系统安全、权限、流程、字典、日志、参数、通知和 AI 接入的基础能力模块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角色权限、数据权限、审批流程、参数配置、状态字典、操作日志、接口日志、通知提醒、AI Tool 支撑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不承担职责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不替代 Nova 身份权威；不建设独立 AI 门户；不把审批引擎做成大型通用 BPM 平台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上游来源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Nova 身份组织数据、业务模块配置需求、集团统一建设原则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下游使用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全部业务模块、接口、报表、AI、运维审计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用户副本、角色、岗位、权限、数据范围、审批流、参数、日志、通知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关键控制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最小权限；高敏感操作专项权限；权限变更留痕；日志可查；AI 调用可审计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概要要求：</w:t>
      </w:r>
    </w:p>
    <w:p>
      <w:r>
        <w:rPr>
          <w:rFonts w:ascii="宋体" w:hAnsi="宋体" w:eastAsia="宋体" w:cs="宋体"/>
          <w:sz w:val="28"/>
          <w:szCs w:val="28"/>
        </w:rPr>
        <w:t>- 统一身份以 Nova Platform 为来源，本系统维护业务角色和数据权限。</w:t>
      </w:r>
    </w:p>
    <w:p>
      <w:r>
        <w:rPr>
          <w:rFonts w:ascii="宋体" w:hAnsi="宋体" w:eastAsia="宋体" w:cs="宋体"/>
          <w:sz w:val="28"/>
          <w:szCs w:val="28"/>
        </w:rPr>
        <w:t>- 审批流应支持按组织、金额、物资类别、业务类型分级配置。</w:t>
      </w:r>
    </w:p>
    <w:p>
      <w:r>
        <w:rPr>
          <w:rFonts w:ascii="宋体" w:hAnsi="宋体" w:eastAsia="宋体" w:cs="宋体"/>
          <w:sz w:val="28"/>
          <w:szCs w:val="28"/>
        </w:rPr>
        <w:t>- 高敏感操作包括反结、补录、盘亏、报废、销毁、接口重推、黑名单解除等。</w:t>
      </w:r>
    </w:p>
    <w:p>
      <w:r>
        <w:rPr>
          <w:rFonts w:ascii="宋体" w:hAnsi="宋体" w:eastAsia="宋体" w:cs="宋体"/>
          <w:sz w:val="28"/>
          <w:szCs w:val="28"/>
        </w:rPr>
        <w:t>- AI Tool 调用必须纳入权限校验和日志审计。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六、跨模块协同关系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主数据驱动业务</w:t>
      </w:r>
    </w:p>
    <w:p>
      <w:r>
        <w:rPr>
          <w:rFonts w:ascii="宋体" w:hAnsi="宋体" w:eastAsia="宋体" w:cs="宋体"/>
          <w:sz w:val="28"/>
          <w:szCs w:val="28"/>
        </w:rPr>
        <w:t>物料、组织、仓库、供应商、计量单位、成本中心和 NC 映射应先于业务单据稳定。业务单据只能引用主数据，不应在业务模块内临时新增不受控基础数据。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计划驱动采购</w:t>
      </w:r>
    </w:p>
    <w:p>
      <w:r>
        <w:rPr>
          <w:rFonts w:ascii="宋体" w:hAnsi="宋体" w:eastAsia="宋体" w:cs="宋体"/>
          <w:sz w:val="28"/>
          <w:szCs w:val="28"/>
        </w:rPr>
        <w:t>需求提报和采购计划是采购执行的上游来源。招投标、合同、采购订单和入库都应能追溯到采购计划或计划外紧急采购依据。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6.3 合同驱动付款</w:t>
      </w:r>
    </w:p>
    <w:p>
      <w:r>
        <w:rPr>
          <w:rFonts w:ascii="宋体" w:hAnsi="宋体" w:eastAsia="宋体" w:cs="宋体"/>
          <w:sz w:val="28"/>
          <w:szCs w:val="28"/>
        </w:rPr>
        <w:t>合同模块定义付款条款和付款节点，资金计划模块负责生成付款计划和付款申请。付款规则不应在多个模块重复维护。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6.4 单据驱动库存</w:t>
      </w:r>
    </w:p>
    <w:p>
      <w:r>
        <w:rPr>
          <w:rFonts w:ascii="宋体" w:hAnsi="宋体" w:eastAsia="宋体" w:cs="宋体"/>
          <w:sz w:val="28"/>
          <w:szCs w:val="28"/>
        </w:rPr>
        <w:t>采购入库、采购退货、领料出库、退料入库、调拨、盘点、废旧处置等单据审核后才影响库存。草稿、待审、驳回状态不得影响库存余额。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6.5 业务事实驱动财务接口</w:t>
      </w:r>
    </w:p>
    <w:p>
      <w:r>
        <w:rPr>
          <w:rFonts w:ascii="宋体" w:hAnsi="宋体" w:eastAsia="宋体" w:cs="宋体"/>
          <w:sz w:val="28"/>
          <w:szCs w:val="28"/>
        </w:rPr>
        <w:t>NC 接口应由已审核业务单据触发，不应由手工凭空发起。接口失败、重推、关闭和异常处理必须关联原业务单据。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6.6 报表和 AI 只读优先</w:t>
      </w:r>
    </w:p>
    <w:p>
      <w:r>
        <w:rPr>
          <w:rFonts w:ascii="宋体" w:hAnsi="宋体" w:eastAsia="宋体" w:cs="宋体"/>
          <w:sz w:val="28"/>
          <w:szCs w:val="28"/>
        </w:rPr>
        <w:t>报表预警和 AI 能力应优先作为查询、分析、预警和追溯入口。涉及审批、反结、冲销、付款、供应商黑名单等高风险操作，不作为一期 AI 自动执行范围。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七、统一状态设计原则</w:t>
      </w:r>
    </w:p>
    <w:p>
      <w:r>
        <w:rPr>
          <w:rFonts w:ascii="宋体" w:hAnsi="宋体" w:eastAsia="宋体" w:cs="宋体"/>
          <w:sz w:val="28"/>
          <w:szCs w:val="28"/>
        </w:rPr>
        <w:t>本节只定义业务模块层面的统一状态口径，避免 15 个模块各自定义状态。接口推送状态、财务处理状态和对账封账细节以 `01-总体架构与集成边界-v0.1.md` 及 `05-NC接口与对账概要设计-v0.1.md` 为准；审批节点和高敏感操作控制以 `04-权限审批与审计概要设计-v0.1.md` 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业务单据状态</w:t>
      </w:r>
    </w:p>
    <w:p>
      <w:r>
        <w:rPr>
          <w:rFonts w:ascii="宋体" w:hAnsi="宋体" w:eastAsia="宋体" w:cs="宋体"/>
          <w:sz w:val="28"/>
          <w:szCs w:val="28"/>
        </w:rPr>
        <w:t>业务单据应统一支持以下基础状态：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含义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草稿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已创建但未提交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已提交审批，等待处理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审批通过，业务事实成立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已驳回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审批未通过，可修改后重新提交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已作废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单据终止，不再生效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已冲销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对已生效业务进行反向处理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库存影响状态</w:t>
      </w:r>
    </w:p>
    <w:p>
      <w:r>
        <w:rPr>
          <w:rFonts w:ascii="宋体" w:hAnsi="宋体" w:eastAsia="宋体" w:cs="宋体"/>
          <w:sz w:val="28"/>
          <w:szCs w:val="28"/>
        </w:rPr>
        <w:t>只有已审且满足生效条件的库存类单据才允许影响库存。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单据类型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库存影响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增加库存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采购退货单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减少库存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减少库存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退料入库单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增加库存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调拨单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调出减少、调入增加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盘盈处理单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增加库存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盘亏处理单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减少库存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废旧出库单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减少库存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7.3 财务接口状态</w:t>
      </w:r>
    </w:p>
    <w:p>
      <w:r>
        <w:rPr>
          <w:rFonts w:ascii="宋体" w:hAnsi="宋体" w:eastAsia="宋体" w:cs="宋体"/>
          <w:sz w:val="28"/>
          <w:szCs w:val="28"/>
        </w:rPr>
        <w:t>触发财务接口的单据应维护接口推送状态和财务处理状态。接口成功不等于财务记账完成，必须以 NC 回执区分已接收、已记账、已退回和已冲销。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7.4 期间状态</w:t>
      </w:r>
    </w:p>
    <w:p>
      <w:r>
        <w:rPr>
          <w:rFonts w:ascii="宋体" w:hAnsi="宋体" w:eastAsia="宋体" w:cs="宋体"/>
          <w:sz w:val="28"/>
          <w:szCs w:val="28"/>
        </w:rPr>
        <w:t>期间状态至少包括未结账、已结账、已反结。已结账期间不得直接修改业务事实，需通过受控补录、反结或冲销流程处理。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八、后续详细设计输入</w:t>
      </w:r>
    </w:p>
    <w:p>
      <w:r>
        <w:rPr>
          <w:rFonts w:ascii="宋体" w:hAnsi="宋体" w:eastAsia="宋体" w:cs="宋体"/>
          <w:sz w:val="28"/>
          <w:szCs w:val="28"/>
        </w:rPr>
        <w:t>业务模块概要设计完成后，详细设计阶段应继续细化以下内容：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模块菜单和页面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按角色、业务频率和单据生命周期设计页面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单据字段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明确每类单据的主表、明细、附件、状态、审批字段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为高频单据和高敏感单据细化状态流转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明确按金额、组织、物资类别、业务类型的审批规则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库存账规则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明确库存余额、批次、权属、调拨在途和盘点冻结规则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接口触发点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明确哪些单据在哪个状态触发 NC 接口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报表指标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明确报表字段、口径、统计周期、权限和导出规则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Tool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明确可开放的业务查询接口、参数、权限和返回结构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九、一句话结论</w:t>
      </w:r>
    </w:p>
    <w:p>
      <w:r>
        <w:rPr>
          <w:rFonts w:ascii="宋体" w:hAnsi="宋体" w:eastAsia="宋体" w:cs="宋体"/>
          <w:sz w:val="28"/>
          <w:szCs w:val="28"/>
        </w:rPr>
        <w:t>一期业务模块设计应围绕主数据底座、计划采购、合同资金、库存实物流转、设备租赁、业财接口和报表 AI 七条线协同展开。后续详细设计要从关键单据、状态机、审批规则、库存影响和接口触发点继续下钻，避免模块之间形成重复维护、状态割裂和责任不清。</w:t>
      </w:r>
    </w:p>
    <w:sectPr w:rsidR="00FC693F" w:rsidRPr="0006063C" w:rsidSect="00034616">
      <w:headerReference w:type="default" r:id="rId10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