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jc w:val="left"/>
      </w:pPr>
      <w:r>
        <w:rPr>
          <w:rFonts w:ascii="宋体" w:hAnsi="宋体" w:eastAsia="宋体" w:cs="宋体"/>
          <w:b/>
          <w:sz w:val="40"/>
          <w:szCs w:val="40"/>
        </w:rPr>
        <w:t>主数据与编码概要设计（V0.1）</w:t>
      </w:r>
    </w:p>
    <w:p>
      <w:r>
        <w:rPr>
          <w:rFonts w:ascii="宋体" w:hAnsi="宋体" w:eastAsia="宋体" w:cs="宋体"/>
          <w:b/>
          <w:sz w:val="28"/>
          <w:szCs w:val="28"/>
        </w:rPr>
        <w:t>版本：</w:t>
      </w:r>
      <w:r>
        <w:rPr>
          <w:rFonts w:ascii="宋体" w:hAnsi="宋体" w:eastAsia="宋体" w:cs="宋体"/>
          <w:sz w:val="28"/>
          <w:szCs w:val="28"/>
        </w:rPr>
        <w:t xml:space="preserve"> V0.1</w:t>
      </w:r>
    </w:p>
    <w:p>
      <w:r>
        <w:rPr>
          <w:rFonts w:ascii="宋体" w:hAnsi="宋体" w:eastAsia="宋体" w:cs="宋体"/>
          <w:b/>
          <w:sz w:val="28"/>
          <w:szCs w:val="28"/>
        </w:rPr>
        <w:t>日期：</w:t>
      </w:r>
      <w:r>
        <w:rPr>
          <w:rFonts w:ascii="宋体" w:hAnsi="宋体" w:eastAsia="宋体" w:cs="宋体"/>
          <w:sz w:val="28"/>
          <w:szCs w:val="28"/>
        </w:rPr>
        <w:t xml:space="preserve"> 2026-04-24</w:t>
      </w:r>
    </w:p>
    <w:p>
      <w:r>
        <w:rPr>
          <w:rFonts w:ascii="宋体" w:hAnsi="宋体" w:eastAsia="宋体" w:cs="宋体"/>
          <w:b/>
          <w:sz w:val="28"/>
          <w:szCs w:val="28"/>
        </w:rPr>
        <w:t>上位文档：</w:t>
      </w:r>
      <w:r>
        <w:rPr>
          <w:rFonts w:ascii="宋体" w:hAnsi="宋体" w:eastAsia="宋体" w:cs="宋体"/>
          <w:sz w:val="28"/>
          <w:szCs w:val="28"/>
        </w:rPr>
        <w:t xml:space="preserve"> `00-概要设计总览-v0.1.md`、`01-总体架构与集成边界-v0.1.md`、`02-业务模块概要设计-v0.1.md`</w:t>
      </w:r>
    </w:p>
    <w:p>
      <w:r>
        <w:rPr>
          <w:rFonts w:ascii="宋体" w:hAnsi="宋体" w:eastAsia="宋体" w:cs="宋体"/>
          <w:b/>
          <w:sz w:val="28"/>
          <w:szCs w:val="28"/>
        </w:rPr>
        <w:t>文档性质：</w:t>
      </w:r>
      <w:r>
        <w:rPr>
          <w:rFonts w:ascii="宋体" w:hAnsi="宋体" w:eastAsia="宋体" w:cs="宋体"/>
          <w:sz w:val="28"/>
          <w:szCs w:val="28"/>
        </w:rPr>
        <w:t xml:space="preserve"> 概要设计专题文档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一、文档目的</w:t>
      </w:r>
    </w:p>
    <w:p>
      <w:r>
        <w:rPr>
          <w:rFonts w:ascii="宋体" w:hAnsi="宋体" w:eastAsia="宋体" w:cs="宋体"/>
          <w:sz w:val="28"/>
          <w:szCs w:val="28"/>
        </w:rPr>
        <w:t>本文档用于在概要设计阶段明确物资供应管理系统的主数据范围、编码策略、权威来源、生命周期、映射关系和治理边界。</w:t>
      </w:r>
    </w:p>
    <w:p>
      <w:r>
        <w:rPr>
          <w:rFonts w:ascii="宋体" w:hAnsi="宋体" w:eastAsia="宋体" w:cs="宋体"/>
          <w:sz w:val="28"/>
          <w:szCs w:val="28"/>
        </w:rPr>
        <w:t>本文档是概要设计阶段主数据、物料编码、权威来源和 NC 存货映射的细化依据；其他概要设计文档只保留必要引用，不重复维护本文件中的规则细节。</w:t>
      </w:r>
    </w:p>
    <w:p>
      <w:r>
        <w:rPr>
          <w:rFonts w:ascii="宋体" w:hAnsi="宋体" w:eastAsia="宋体" w:cs="宋体"/>
          <w:sz w:val="28"/>
          <w:szCs w:val="28"/>
        </w:rPr>
        <w:t>本文档重点回答：</w:t>
      </w:r>
    </w:p>
    <w:p>
      <w:r>
        <w:rPr>
          <w:rFonts w:ascii="宋体" w:hAnsi="宋体" w:eastAsia="宋体" w:cs="宋体"/>
          <w:sz w:val="28"/>
          <w:szCs w:val="28"/>
        </w:rPr>
        <w:t>- 一期哪些数据属于主数据和基础字典</w:t>
      </w:r>
    </w:p>
    <w:p>
      <w:r>
        <w:rPr>
          <w:rFonts w:ascii="宋体" w:hAnsi="宋体" w:eastAsia="宋体" w:cs="宋体"/>
          <w:sz w:val="28"/>
          <w:szCs w:val="28"/>
        </w:rPr>
        <w:t>- 各类主数据的权威来源、维护归口和使用边界是什么</w:t>
      </w:r>
    </w:p>
    <w:p>
      <w:r>
        <w:rPr>
          <w:rFonts w:ascii="宋体" w:hAnsi="宋体" w:eastAsia="宋体" w:cs="宋体"/>
          <w:sz w:val="28"/>
          <w:szCs w:val="28"/>
        </w:rPr>
        <w:t>- 物料编码如何生成、稳定、停用和扩展</w:t>
      </w:r>
    </w:p>
    <w:p>
      <w:r>
        <w:rPr>
          <w:rFonts w:ascii="宋体" w:hAnsi="宋体" w:eastAsia="宋体" w:cs="宋体"/>
          <w:sz w:val="28"/>
          <w:szCs w:val="28"/>
        </w:rPr>
        <w:t>- 物资系统与 NC、Nova Platform、未来集团统一编码之间如何映射</w:t>
      </w:r>
    </w:p>
    <w:p>
      <w:r>
        <w:rPr>
          <w:rFonts w:ascii="宋体" w:hAnsi="宋体" w:eastAsia="宋体" w:cs="宋体"/>
          <w:sz w:val="28"/>
          <w:szCs w:val="28"/>
        </w:rPr>
        <w:t>- 后续详细设计需要细化哪些字段、流程、校验和初始化规则</w:t>
      </w:r>
    </w:p>
    <w:p>
      <w:r>
        <w:rPr>
          <w:rFonts w:ascii="宋体" w:hAnsi="宋体" w:eastAsia="宋体" w:cs="宋体"/>
          <w:sz w:val="28"/>
          <w:szCs w:val="28"/>
        </w:rPr>
        <w:t>本文档不直接固化物理表结构、接口报文字段和页面原型；字段级设计以详细设计和实施配置为准。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二、设计依据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文档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作用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`docs/需求梳理/03-主数据与编码规则说明-V1.0.md`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明确主数据对象、编码原则、维护机制和管理口径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`docs/详细规则/物资编码规范文档.md`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明确物料编码结构、大类分类、NC 映射和集团编码扩展预留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`docs/详细规则/物资管理与财务接口规范.md`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 NC 主数据映射、计量单位、成本中心、组织口径和对账要求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`docs/需求梳理/05-财务与NC接口需求说明-V1.0.md`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明确主数据映射缺失、接口拦截、月末对账和归口责任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`docs/需求梳理/07-角色权限与审批矩阵-V1.0.md`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明确主数据维护权限、审批角色和组织仓库数据权限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`docs/招标/物资供应管理系统招标技术要求-v1.1.md`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明确供应商实施交付中的主数据和编码建设要求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三、设计定位</w:t>
      </w:r>
    </w:p>
    <w:p>
      <w:r>
        <w:rPr>
          <w:rFonts w:ascii="宋体" w:hAnsi="宋体" w:eastAsia="宋体" w:cs="宋体"/>
          <w:sz w:val="28"/>
          <w:szCs w:val="28"/>
        </w:rPr>
        <w:t>主数据与编码是系统底座，不是普通功能菜单。它决定后续需求提报、采购计划、招投标、合同、库存、设备、资金计划、NC 接口、报表和 AI 查询是否能够使用同一套业务口径。</w:t>
      </w:r>
    </w:p>
    <w:p>
      <w:r>
        <w:rPr>
          <w:rFonts w:ascii="宋体" w:hAnsi="宋体" w:eastAsia="宋体" w:cs="宋体"/>
          <w:sz w:val="28"/>
          <w:szCs w:val="28"/>
        </w:rPr>
        <w:t>一期主数据设计应坚持以下定位：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定位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业务口径底座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统一物料、组织、仓库、供应商、计量单位、成本中心等基础对象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编码治理底座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以一物一码、编码只增不改、停用不删除为核心约束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财务映射底座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通过 NC 存货、成本中心、核算组织映射支撑接口推送和对账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权限过滤底座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通过组织、仓库、角色和数据范围支撑业务数据隔离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报表分析底座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为库存、采购、合同、供应商、成本和预警提供统一维度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扩展兼容底座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预留辽宁能源未来统一编码和集团级主数据对接能力</w:t>
            </w:r>
          </w:p>
        </w:tc>
      </w:tr>
    </w:tbl>
    <w:p>
      <w:pPr>
        <w:pStyle w:val="Heading2"/>
        <w:keepNext/>
        <w:spacing w:after="0"/>
        <w:jc w:val="left"/>
      </w:pPr>
      <w:r>
        <w:rPr>
          <w:rFonts w:ascii="宋体" w:hAnsi="宋体" w:eastAsia="宋体" w:cs="宋体"/>
          <w:b/>
          <w:sz w:val="28"/>
          <w:szCs w:val="28"/>
        </w:rPr>
        <w:t>四、一期主数据范围</w:t>
      </w:r>
    </w:p>
    <w:p>
      <w:pPr>
        <w:keepNext/>
        <w:spacing w:after="0"/>
      </w:pPr>
      <w:r>
        <w:rPr>
          <w:rFonts w:ascii="宋体" w:hAnsi="宋体" w:eastAsia="宋体" w:cs="宋体"/>
          <w:sz w:val="28"/>
          <w:szCs w:val="28"/>
        </w:rPr>
        <w:t>一期主数据建议按 8 类对象组织。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类别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主数据对象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一期设计重点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组织人员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组织、部门、人员、岗位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以 Nova Platform 为权威来源，本系统保存业务副本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仓储地点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仓库、库区、货位、组织仓库关系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由物资系统维护，用于库存归属、盘点范围和数据权限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物料体系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物料分类、物料主数据、物料编码、物料属性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一物一码、分类统一、属性受控、停用不删除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计量体系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主单位、采购单位、库存单位、换算关系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单位字典统一维护，与 NC 保持一致或建立稳定映射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供应商档案、资质、准入状态、黑名单状态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支撑招投标、合同、采购、对账和履约追溯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财务口径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成本中心、核算组织、会计科目引用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以 NC 或财务系统为权威来源，物资系统引用和映射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映射关系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物料-NC 存货、组织-NC 核算组织、成本中心对照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支撑接口推送、幂等、对账和异常处理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扩展编码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辽宁能源集团物料编码映射预留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一期预留字段、关系和接口空间，不要求直接启用</w:t>
            </w:r>
          </w:p>
        </w:tc>
      </w:tr>
    </w:tbl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6858000" cy="26280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28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五、权威来源与维护边界</w:t>
      </w:r>
    </w:p>
    <w:p>
      <w:r>
        <w:rPr>
          <w:rFonts w:ascii="宋体" w:hAnsi="宋体" w:eastAsia="宋体" w:cs="宋体"/>
          <w:sz w:val="28"/>
          <w:szCs w:val="28"/>
        </w:rPr>
        <w:t>主数据必须先明确“谁是权威来源”，否则后续接口、权限和对账会持续出现口径冲突。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数据对象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权威来源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物资系统职责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不应承担的职责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组织、人员、岗位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Nova Platform 或集团统一平台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同步业务副本，用于单据、审批、权限和历史追溯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不作为组织人员权威维护系统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业务角色、数据权限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物资系统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维护业务角色、仓库范围、组织范围和模块权限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不替代集团统一身份认证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仓库、库区、货位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物资系统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维护仓储地点、归属组织、启停状态和业务属性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不在 NC 中重复维护仓库业务规则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物料分类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集团物资管理归口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维护分类、编码前缀、属性规则和启停状态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不允许各单位随意新增分类口径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物料主数据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物资系统，集团物资管理归口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维护物料编码、名称、规格、属性、状态和映射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不替代 NC 存货档案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计量单位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集团物资 + 财务联合确认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维护单位字典、主单位、换算关系和 NC 映射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不允许不同单位各自扩展同义单位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供应商档案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物资系统或集团供应商归口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维护供应商基础信息、资质、准入和黑名单状态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不替代未来集团统一供应商平台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成本中心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或财务系统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引用财务口径，维护使用单位对照关系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不在物资系统自建另一套成本中心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核算组织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或财务系统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维护组织与核算组织映射，用于接口和对账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不把业务组织等同于财务核算组织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存货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财务系统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维护物料到 NC 存货的 N:1 映射和推送校验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不要求 NC 按物资细规格重建编码体系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六、物料编码概要设计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6.1 编码结构</w:t>
      </w:r>
    </w:p>
    <w:p>
      <w:r>
        <w:rPr>
          <w:rFonts w:ascii="宋体" w:hAnsi="宋体" w:eastAsia="宋体" w:cs="宋体"/>
          <w:sz w:val="28"/>
          <w:szCs w:val="28"/>
        </w:rPr>
        <w:t>物料编码采用 `XX-XX-XXXXXX` 结构。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段位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位数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含义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示例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大类代码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 位拼音首字母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物料一级分类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`ZH` 支护材料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分类代码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 位数字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物料二级分类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`01` 锚杆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流水号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6 位数字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按分类独立自增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`000001`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示例：`ZH-01-000001` 表示支护材料-锚杆分类下的第 1 个物料。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6.2 编码原则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原则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概要要求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一物一码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同一物料在集团范围内只允许一个有效编码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编码只增不改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编码生效后不得修改，错误场景通过停用和新建处理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停用不删除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停用物料保留历史单据、库存、合同和接口可追溯性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不含组织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组织、矿厂、仓库不进入编码主体，由业务字段表达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不含供应商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供应商物料号作为扩展属性维护，不进入本系统编码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不含规格细节堆砌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规格、型号、材质、品牌、图号等通过属性字段表达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支持扩展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预留新增大类、分类、集团统一编码和 NC 映射能力</w:t>
            </w:r>
          </w:p>
        </w:tc>
      </w:tr>
    </w:tbl>
    <w:p>
      <w:pPr>
        <w:pStyle w:val="Heading3"/>
        <w:keepNext/>
        <w:spacing w:after="0"/>
        <w:jc w:val="left"/>
      </w:pPr>
      <w:r>
        <w:rPr>
          <w:rFonts w:ascii="宋体" w:hAnsi="宋体" w:eastAsia="宋体" w:cs="宋体"/>
          <w:b/>
          <w:sz w:val="32"/>
          <w:szCs w:val="32"/>
        </w:rPr>
        <w:t>6.3 编码生成控制</w:t>
      </w:r>
    </w:p>
    <w:p>
      <w:pPr>
        <w:keepNext/>
        <w:spacing w:after="0"/>
      </w:pPr>
      <w:r>
        <w:rPr>
          <w:rFonts w:ascii="宋体" w:hAnsi="宋体" w:eastAsia="宋体" w:cs="宋体"/>
          <w:sz w:val="28"/>
          <w:szCs w:val="28"/>
        </w:rPr>
        <w:t>物料编码应由系统按分类自动生成，不建议人工录入编码主体。</w:t>
      </w:r>
    </w:p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3595395" cy="777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5395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6.4 大类扩展原则</w:t>
      </w:r>
    </w:p>
    <w:p>
      <w:r>
        <w:rPr>
          <w:rFonts w:ascii="宋体" w:hAnsi="宋体" w:eastAsia="宋体" w:cs="宋体"/>
          <w:sz w:val="28"/>
          <w:szCs w:val="28"/>
        </w:rPr>
        <w:t>现有大类以《物资编码规范文档》为准。新增大类必须满足：</w:t>
      </w:r>
    </w:p>
    <w:p>
      <w:r>
        <w:rPr>
          <w:rFonts w:ascii="宋体" w:hAnsi="宋体" w:eastAsia="宋体" w:cs="宋体"/>
          <w:sz w:val="28"/>
          <w:szCs w:val="28"/>
        </w:rPr>
        <w:t>- 由集团物资管理归口审批。</w:t>
      </w:r>
    </w:p>
    <w:p>
      <w:r>
        <w:rPr>
          <w:rFonts w:ascii="宋体" w:hAnsi="宋体" w:eastAsia="宋体" w:cs="宋体"/>
          <w:sz w:val="28"/>
          <w:szCs w:val="28"/>
        </w:rPr>
        <w:t>- 两位大类代码不得与既有代码冲突。</w:t>
      </w:r>
    </w:p>
    <w:p>
      <w:r>
        <w:rPr>
          <w:rFonts w:ascii="宋体" w:hAnsi="宋体" w:eastAsia="宋体" w:cs="宋体"/>
          <w:sz w:val="28"/>
          <w:szCs w:val="28"/>
        </w:rPr>
        <w:t>- 明确是否涉及危险品、批次、保质期、条码、NC 科目和专项费用。</w:t>
      </w:r>
    </w:p>
    <w:p>
      <w:r>
        <w:rPr>
          <w:rFonts w:ascii="宋体" w:hAnsi="宋体" w:eastAsia="宋体" w:cs="宋体"/>
          <w:sz w:val="28"/>
          <w:szCs w:val="28"/>
        </w:rPr>
        <w:t>- 明确与 NC 存货分类和财务科目的映射影响。</w:t>
      </w:r>
    </w:p>
    <w:p>
      <w:r>
        <w:rPr>
          <w:rFonts w:ascii="宋体" w:hAnsi="宋体" w:eastAsia="宋体" w:cs="宋体"/>
          <w:sz w:val="28"/>
          <w:szCs w:val="28"/>
        </w:rPr>
        <w:t>- 已发生历史业务的分类不得随意合并、拆分或重编码。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七、物料主数据生命周期</w:t>
      </w:r>
    </w:p>
    <w:p>
      <w:r>
        <w:rPr>
          <w:rFonts w:ascii="宋体" w:hAnsi="宋体" w:eastAsia="宋体" w:cs="宋体"/>
          <w:sz w:val="28"/>
          <w:szCs w:val="28"/>
        </w:rPr>
        <w:t>物料生命周期建议按“申请、审核、启用、变更、停用、归档查询”管理。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状态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含义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业务控制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待申请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业务单位发现现有物料无法满足需求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可提交新增申请，不可直接用于业务单据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待审核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已提交主数据审批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不可用于采购、库存和接口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待映射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物料已编码，但 NC 存货映射未完成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可按配置限制采购或限制财务触发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启用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物料正式可用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可用于需求、采购、合同、库存和报表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变更中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名称、规格、属性、映射等申请变更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原数据继续有效，审批通过后生成变更记录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停用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不再允许新业务引用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历史单据、库存、接口和报表仍可查询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归档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长期不用但保留历史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不可新建业务，不可复用编码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物料变更应区分两类：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变更类型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示例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控制原则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非关键变更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备注、图片、技术说明、供应商物料号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审批可简化，但必须留痕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关键变更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名称、规格型号、分类、单位、NC 映射、危险品属性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必须审批，必要时触发财务、库存和安全部门复核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八、主数据对象概要设计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8.1 物料分类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概要设计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主要用途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决定编码前缀、属性模板、库存统计、采购分析、NC 映射和报表维度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关键属性组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大类代码、分类代码、分类名称、上级分类、启停状态、特殊管理标识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关键规则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分类启用后可新增物料；分类停用后不得新增物料，但历史物料仍可查询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详细设计输入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分类维护页面、分类审批、分类变更影响分析、分类与 NC 科目映射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8.2 物料主数据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概要设计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主要用途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支撑需求、采购、合同、库存、设备、报表、接口和 AI 查询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关键属性组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基本识别、规格型号、分类单位、仓储属性、财务映射、特殊属性、扩展备注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关键规则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编码唯一；名称规格查重；启用后可引用；停用后不得新引用；历史可追溯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详细设计输入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字段模板、属性校验、附件资料、条码二维码、查重规则、导入模板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8.3 组织与仓库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概要设计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主要用途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支撑库存归属、出入库地点、盘点范围、数据权限和跨组织调拨判断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关键属性组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组织编码、组织层级、仓库编码、库区货位、仓库类型、归属组织、启停状态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关键规则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组织人员来自 Nova；仓库由物资系统维护；仓库停用不得影响历史库存查询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详细设计输入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组织同步机制、仓库权限、库区货位层级、跨组织共享仓规则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8.4 计量单位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概要设计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主要用途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保证采购、入库、出库、盘点、计价和 NC 推送数量口径一致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关键属性组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单位编码、单位名称、单位类型、精度、NC 单位映射、换算比例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关键规则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同一物料必须有主单位；采购单位和库存单位不一致时必须维护换算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详细设计输入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单位字典、单位换算、数量精度、接口转换和异常拦截规则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8.5 供应商档案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概要设计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主要用途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支撑采购准入、招投标、合同、到货、付款、对账和履约追溯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关键属性组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供应商编码、名称、证照、税务结算、联系人、供应范围、准入状态、黑名单状态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关键规则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非合格供应商不得参与采购；资质过期须预警；黑名单解除须审批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详细设计输入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供应商准入流程、资质附件、考评指标、黑名单控制和招投标联动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8.6 成本中心与使用单位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概要设计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主要用途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支撑领料成本归集、费用凭证、资金统计和报表分析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关键属性组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使用单位、成本中心编码、成本中心名称、核算组织、适用范围、启停状态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关键规则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成本中心以财务口径为准；领料出库必须按规则带出或选择成本中心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详细设计输入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一对一/一对多映射、默认规则、跨成本中心拆分、历史变更追溯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8.7 NC 存货映射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概要设计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主要用途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支撑物资业务单据按 NC 存货口径推送、记账和对账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关键属性组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物料编码、NC 存货编码、NC 存货名称、核算组织、映射状态、启停状态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关键规则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默认采用物资 N:1 NC 存货映射；组织级差异通过补充映射处理；若 NC 暂未落地，允许物料保持“待映射/未配置”状态，但不得启用对应财务接口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详细设计输入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映射维护流程、映射优先级、缺失拦截、每日检查、月末对账、映射配置模型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九、NC 映射概要设计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9.1 映射策略</w:t>
      </w:r>
    </w:p>
    <w:p>
      <w:r>
        <w:rPr>
          <w:rFonts w:ascii="宋体" w:hAnsi="宋体" w:eastAsia="宋体" w:cs="宋体"/>
          <w:sz w:val="28"/>
          <w:szCs w:val="28"/>
        </w:rPr>
        <w:t>物资系统按物料和规格细分管理，NC 按存货和财务科目归集管理。两者不强求编码体系一致，采用物资系统主动适配 NC 的 N:1 映射策略。</w:t>
      </w:r>
    </w:p>
    <w:p>
      <w:r>
        <w:rPr>
          <w:rFonts w:ascii="宋体" w:hAnsi="宋体" w:eastAsia="宋体" w:cs="宋体"/>
          <w:sz w:val="28"/>
          <w:szCs w:val="28"/>
        </w:rPr>
        <w:t>若当前阶段 NC 尚未落地，则先固化映射字段、映射状态、配置入口和启停开关，不要求形成最终 NC 存货编码台账；正式映射待 NC 账套、存货档案和核算口径确定后补齐。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维度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物资系统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财务系统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映射关系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管理对象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物料、规格、批次、仓库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存货、科目、核算组织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 N → NC 存货 1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数据粒度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细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粗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推送时按 NC 存货汇总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权威职责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业务实物和库存事实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财务凭证、应付和总账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通过接口和对账衔接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9.2 映射查找优先级</w:t>
      </w:r>
    </w:p>
    <w:p>
      <w:r>
        <w:rPr>
          <w:rFonts w:ascii="宋体" w:hAnsi="宋体" w:eastAsia="宋体" w:cs="宋体"/>
          <w:sz w:val="28"/>
          <w:szCs w:val="28"/>
        </w:rPr>
        <w:t>NC 存货映射建议按以下优先级查找：</w:t>
      </w:r>
    </w:p>
    <w:p>
      <w:r>
        <w:rPr>
          <w:rFonts w:ascii="宋体" w:hAnsi="宋体" w:eastAsia="宋体" w:cs="宋体"/>
          <w:sz w:val="28"/>
          <w:szCs w:val="28"/>
        </w:rPr>
        <w:t>1. 若存在“物料 + NC 核算组织”的组织级映射，优先使用组织级映射。</w:t>
      </w:r>
    </w:p>
    <w:p>
      <w:r>
        <w:rPr>
          <w:rFonts w:ascii="宋体" w:hAnsi="宋体" w:eastAsia="宋体" w:cs="宋体"/>
          <w:sz w:val="28"/>
          <w:szCs w:val="28"/>
        </w:rPr>
        <w:t>2. 若不存在组织级映射，使用物料主数据上的默认 NC 存货映射。</w:t>
      </w:r>
    </w:p>
    <w:p>
      <w:r>
        <w:rPr>
          <w:rFonts w:ascii="宋体" w:hAnsi="宋体" w:eastAsia="宋体" w:cs="宋体"/>
          <w:sz w:val="28"/>
          <w:szCs w:val="28"/>
        </w:rPr>
        <w:t>3. 若仍无法找到有效映射，则拦截财务接口推送，生成映射缺失异常。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9.3 映射完整性控制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场景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控制要求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未落地阶段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允许映射状态保持“待映射/未配置”，但必须具备映射字段、配置入口和接口启停控制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新增物料涉及财务联动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未完成 NC 映射前不得触发财务接口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物料停用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应同步通知或标记 NC 相关映射状态，不删除历史关系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成本中心缺失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领料出库、专项费用和成本归集类单据不得推送 NC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核算组织缺失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跨组织调拨和财务接口推送应拦截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映射变更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必须记录变更前后值、审批人、时间和影响说明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十、辽宁能源集团编码扩展预留</w:t>
      </w:r>
    </w:p>
    <w:p>
      <w:r>
        <w:rPr>
          <w:rFonts w:ascii="宋体" w:hAnsi="宋体" w:eastAsia="宋体" w:cs="宋体"/>
          <w:sz w:val="28"/>
          <w:szCs w:val="28"/>
        </w:rPr>
        <w:t>一期应明确：阜矿物资系统编码是当前主体编码，不因未来集团统一编码标准推倒重建。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层级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编码主体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一期处理方式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阜矿物资系统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本系统物料编码 `XX-XX-XXXXXX`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正式启用，作为业务单据和库存主编码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财务系统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存货编码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通过 N:1 映射对接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辽宁能源集团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未来统一物料编码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预留字段和映射关系，暂不直接启用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预留要求：</w:t>
      </w:r>
    </w:p>
    <w:p>
      <w:r>
        <w:rPr>
          <w:rFonts w:ascii="宋体" w:hAnsi="宋体" w:eastAsia="宋体" w:cs="宋体"/>
          <w:sz w:val="28"/>
          <w:szCs w:val="28"/>
        </w:rPr>
        <w:t>- 物料主数据预留集团物料编码和集团物料名称。</w:t>
      </w:r>
    </w:p>
    <w:p>
      <w:r>
        <w:rPr>
          <w:rFonts w:ascii="宋体" w:hAnsi="宋体" w:eastAsia="宋体" w:cs="宋体"/>
          <w:sz w:val="28"/>
          <w:szCs w:val="28"/>
        </w:rPr>
        <w:t>- 支持未来建立阜矿物料与集团物料的映射关系。</w:t>
      </w:r>
    </w:p>
    <w:p>
      <w:r>
        <w:rPr>
          <w:rFonts w:ascii="宋体" w:hAnsi="宋体" w:eastAsia="宋体" w:cs="宋体"/>
          <w:sz w:val="28"/>
          <w:szCs w:val="28"/>
        </w:rPr>
        <w:t>- 支持未来按集团口径导出、同步或对账。</w:t>
      </w:r>
    </w:p>
    <w:p>
      <w:r>
        <w:rPr>
          <w:rFonts w:ascii="宋体" w:hAnsi="宋体" w:eastAsia="宋体" w:cs="宋体"/>
          <w:sz w:val="28"/>
          <w:szCs w:val="28"/>
        </w:rPr>
        <w:t>- 不以未来编码为由要求一期重新梳理所有阜矿编码。</w:t>
      </w:r>
    </w:p>
    <w:p>
      <w:r>
        <w:rPr>
          <w:rFonts w:ascii="宋体" w:hAnsi="宋体" w:eastAsia="宋体" w:cs="宋体"/>
          <w:sz w:val="28"/>
          <w:szCs w:val="28"/>
        </w:rPr>
        <w:t>- 若未来集团编码粒度与阜矿不同，通过映射、换算或补充规则处理。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十一、初始化与治理要求</w:t>
      </w:r>
    </w:p>
    <w:p>
      <w:r>
        <w:rPr>
          <w:rFonts w:ascii="宋体" w:hAnsi="宋体" w:eastAsia="宋体" w:cs="宋体"/>
          <w:sz w:val="28"/>
          <w:szCs w:val="28"/>
        </w:rPr>
        <w:t>主数据初始化是上线成败的前置条件，应在详细设计和实施阶段单独形成治理计划。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工作项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目标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主责建议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历史物料清洗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清理重复、无效、分类缺失、单位混乱的物料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集团物资管理牵头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分类补齐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所有有效物料必须归入明确分类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物资管理 + 各矿配合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单位统一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主单位、采购单位、库存单位和换算关系明确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物资管理 + 财务确认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映射建立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若 NC 已落地，则有效财务联动物料完成 NC 存货映射；若 NC 暂未落地，则先完成映射字段和配置模板准备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 + 物资 + 实施方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组织仓库初始化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组织、仓库、库区、货位和归属关系清晰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物资管理 + 信息化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成本中心对照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使用单位、区队、部门与成本中心关系确认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财务牵头，各矿配合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供应商整理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合格供应商、潜在供应商、负面供应商状态明确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物资管理 + 采购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导入校验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编码唯一、单位合法、映射完整、状态合法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实施方 + 信息化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上线前至少完成以下检查：</w:t>
      </w:r>
    </w:p>
    <w:p>
      <w:r>
        <w:rPr>
          <w:rFonts w:ascii="宋体" w:hAnsi="宋体" w:eastAsia="宋体" w:cs="宋体"/>
          <w:sz w:val="28"/>
          <w:szCs w:val="28"/>
        </w:rPr>
        <w:t>- 有库存余额的物料必须完成编码、分类、单位和仓库归属。</w:t>
      </w:r>
    </w:p>
    <w:p>
      <w:r>
        <w:rPr>
          <w:rFonts w:ascii="宋体" w:hAnsi="宋体" w:eastAsia="宋体" w:cs="宋体"/>
          <w:sz w:val="28"/>
          <w:szCs w:val="28"/>
        </w:rPr>
        <w:t>- 需要推送 NC 的物料必须完成 NC 存货映射。</w:t>
      </w:r>
    </w:p>
    <w:p>
      <w:r>
        <w:rPr>
          <w:rFonts w:ascii="宋体" w:hAnsi="宋体" w:eastAsia="宋体" w:cs="宋体"/>
          <w:sz w:val="28"/>
          <w:szCs w:val="28"/>
        </w:rPr>
        <w:t>- 领料会触发财务归集的使用单位必须完成成本中心对照。</w:t>
      </w:r>
    </w:p>
    <w:p>
      <w:r>
        <w:rPr>
          <w:rFonts w:ascii="宋体" w:hAnsi="宋体" w:eastAsia="宋体" w:cs="宋体"/>
          <w:sz w:val="28"/>
          <w:szCs w:val="28"/>
        </w:rPr>
        <w:t>- 已停用物料不得作为新业务默认可选项。</w:t>
      </w:r>
    </w:p>
    <w:p>
      <w:r>
        <w:rPr>
          <w:rFonts w:ascii="宋体" w:hAnsi="宋体" w:eastAsia="宋体" w:cs="宋体"/>
          <w:sz w:val="28"/>
          <w:szCs w:val="28"/>
        </w:rPr>
        <w:t>- 若 NC 已落地并启用财务接口，期初库存金额应与 NC 存货余额对齐，差异不得带病上线。</w:t>
      </w:r>
    </w:p>
    <w:p>
      <w:r>
        <w:rPr>
          <w:rFonts w:ascii="宋体" w:hAnsi="宋体" w:eastAsia="宋体" w:cs="宋体"/>
          <w:sz w:val="28"/>
          <w:szCs w:val="28"/>
        </w:rPr>
        <w:t>若当前阶段尚未启用 NC 财务接口，则只要求映射字段、配置模型和状态控制到位，不要求在本阶段形成最终 NC 存货编码台账。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十二、权限与审计控制</w:t>
      </w:r>
    </w:p>
    <w:p>
      <w:r>
        <w:rPr>
          <w:rFonts w:ascii="宋体" w:hAnsi="宋体" w:eastAsia="宋体" w:cs="宋体"/>
          <w:sz w:val="28"/>
          <w:szCs w:val="28"/>
        </w:rPr>
        <w:t>主数据属于高影响数据，应纳入权限、审批和审计控制。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操作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控制要求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物料新增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发起、审核、编码生成、NC 映射分权处理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物料变更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关键字段变更必须审批，记录变更前后值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物料停用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检查库存、未完成订单、合同和接口状态后处理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分类调整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需评估编码、库存、报表和 NC 映射影响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单位换算调整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涉及库存和接口数量，必须审批并留痕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映射调整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财务参与确认，历史推送不得被无痕覆盖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供应商黑名单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列入和解除均需审批，采购链路强制校验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批量导入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必须记录导入人、时间、模板版本、成功失败明细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所有主数据维护动作应记录操作日志；高敏感字段应记录字段级变更日志。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十三、后续详细设计输入</w:t>
      </w:r>
    </w:p>
    <w:p>
      <w:r>
        <w:rPr>
          <w:rFonts w:ascii="宋体" w:hAnsi="宋体" w:eastAsia="宋体" w:cs="宋体"/>
          <w:sz w:val="28"/>
          <w:szCs w:val="28"/>
        </w:rPr>
        <w:t>主数据与编码概要设计完成后，详细设计阶段应继续细化以下内容：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主数据字段清单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明确物料、分类、仓库、供应商、单位、映射等对象字段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编码生成规则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明确分类流水号生成、并发控制、作废处理和异常补救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查重规则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明确名称、规格、型号、单位、品牌、图号等查重组合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审批流程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明确新增、变更、停用、映射调整和批量导入审批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导入模板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明确历史物料、仓库、供应商、成本中心、NC 映射模板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数据校验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明确必填、唯一、引用、状态、单位换算和映射完整性校验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接口触发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明确哪些主数据变更触发 NC、Nova 或未来集团平台同步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权限模型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明确谁能新增、审核、变更、停用、导出和批量导入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治理计划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明确上线前清洗、映射、对账、验收和责任分工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十四、一句话结论</w:t>
      </w:r>
    </w:p>
    <w:p>
      <w:r>
        <w:rPr>
          <w:rFonts w:ascii="宋体" w:hAnsi="宋体" w:eastAsia="宋体" w:cs="宋体"/>
          <w:sz w:val="28"/>
          <w:szCs w:val="28"/>
        </w:rPr>
        <w:t>主数据与编码设计的核心是先稳定“物料、组织、仓库、单位、供应商、成本中心、NC 映射”七类底座，再让业务单据和接口全部引用这套底座。后续详细设计必须优先落地字段、查重、审批、导入、映射完整性和上线治理计划，否则业务流程、库存台账和 NC 对账都会被主数据质量拖住。</w:t>
      </w:r>
    </w:p>
    <w:sectPr w:rsidR="00FC693F" w:rsidRPr="0006063C" w:rsidSect="00034616">
      <w:headerReference w:type="default" r:id="rId11"/>
      <w:headerReference w:type="first" r:id="rId12"/>
      <w:headerReference w:type="even" r:id="rId13"/>
      <w:footerReference w:type="default" r:id="rId14"/>
      <w:footerReference w:type="first" r:id="rId15"/>
      <w:footerReference w:type="even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numbering" w:default="1" w:styleId="NoList">
    <w:name w:val="No List"/>
    <w:uiPriority w:val="99"/>
    <w:semiHidden/>
    <w:unhideWhenUsed/>
    <w:rPr>
      <w:rFonts w:ascii="宋体" w:hAnsi="宋体" w:eastAsia="宋体" w:cs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