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权限审批与审计概要设计（V0.1）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`00-概要设计总览-v0.1.md`、`01-总体架构与集成边界-v0.1.md`、`02-业务模块概要设计-v0.1.md`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本文档用于在概要设计阶段明确物资供应管理系统的身份接入、角色权限、数据权限、审批规则、高敏感操作控制和日志审计模型。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系统如何接入集团统一身份和组织人员数据</w:t>
      </w:r>
    </w:p>
    <w:p>
      <w:r>
        <w:rPr>
          <w:rFonts w:ascii="宋体" w:hAnsi="宋体" w:eastAsia="宋体" w:cs="宋体"/>
          <w:sz w:val="28"/>
          <w:szCs w:val="28"/>
        </w:rPr>
        <w:t>- 本系统内部如何维护业务角色、功能权限和数据权限</w:t>
      </w:r>
    </w:p>
    <w:p>
      <w:r>
        <w:rPr>
          <w:rFonts w:ascii="宋体" w:hAnsi="宋体" w:eastAsia="宋体" w:cs="宋体"/>
          <w:sz w:val="28"/>
          <w:szCs w:val="28"/>
        </w:rPr>
        <w:t>- 主要业务审批如何按组织、金额、物资类别和业务类型路由</w:t>
      </w:r>
    </w:p>
    <w:p>
      <w:r>
        <w:rPr>
          <w:rFonts w:ascii="宋体" w:hAnsi="宋体" w:eastAsia="宋体" w:cs="宋体"/>
          <w:sz w:val="28"/>
          <w:szCs w:val="28"/>
        </w:rPr>
        <w:t>- 哪些操作属于高敏感操作，需要专项权限、审批和审计</w:t>
      </w:r>
    </w:p>
    <w:p>
      <w:r>
        <w:rPr>
          <w:rFonts w:ascii="宋体" w:hAnsi="宋体" w:eastAsia="宋体" w:cs="宋体"/>
          <w:sz w:val="28"/>
          <w:szCs w:val="28"/>
        </w:rPr>
        <w:t>- 日志审计应覆盖哪些对象、动作和关键字段</w:t>
      </w:r>
    </w:p>
    <w:p>
      <w:r>
        <w:rPr>
          <w:rFonts w:ascii="宋体" w:hAnsi="宋体" w:eastAsia="宋体" w:cs="宋体"/>
          <w:sz w:val="28"/>
          <w:szCs w:val="28"/>
        </w:rPr>
        <w:t>- 后续详细设计和实施配置阶段需要继续细化哪些内容</w:t>
      </w:r>
    </w:p>
    <w:p>
      <w:r>
        <w:rPr>
          <w:rFonts w:ascii="宋体" w:hAnsi="宋体" w:eastAsia="宋体" w:cs="宋体"/>
          <w:sz w:val="28"/>
          <w:szCs w:val="28"/>
        </w:rPr>
        <w:t>本文档不直接固化最终审批人名单、每个按钮权限、每个页面菜单、每个金额阈值和每条日志字段；这些内容应在详细设计和实施配置阶段结合组织、岗位和制度确认。</w:t>
      </w:r>
    </w:p>
    <w:p>
      <w:r>
        <w:rPr>
          <w:rFonts w:ascii="宋体" w:hAnsi="宋体" w:eastAsia="宋体" w:cs="宋体"/>
          <w:sz w:val="28"/>
          <w:szCs w:val="28"/>
        </w:rPr>
        <w:t>本文档是概要设计阶段权限、审批和审计模型的细化依据；业务模块中的权限描述只保留必要引用，不重复维护本文件中的规则细节。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`docs/集团统筹/集团业务系统统一建设原则-V2.0.md`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明确统一登录、统一身份来源、权限模型、日志审计和最小合规要求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`docs/需求梳理/07-角色权限与审批矩阵-V1.0.md`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明确一期角色清单、建议权限矩阵、审批矩阵和特殊场景控制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`docs/概要设计/01-总体架构与集成边界-v0.1.md`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Nova Platform、权限组件、审批组件和日志审计组件的架构边界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`docs/概要设计/02-业务模块概要设计-v0.1.md`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15 个业务模块的职责、关键控制和高敏感场景分布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`docs/概要设计/03-主数据与编码概要设计-v0.1.md`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明确主数据维护、变更、映射和批量导入的权限与审计要求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`docs/招标/物资供应管理系统招标技术要求-v1.1.md`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明确供应商交付中应满足的权限、审批、日志和审计能力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三、设计原则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统一身份，业务权限本地维护</w:t>
      </w:r>
    </w:p>
    <w:p>
      <w:r>
        <w:rPr>
          <w:rFonts w:ascii="宋体" w:hAnsi="宋体" w:eastAsia="宋体" w:cs="宋体"/>
          <w:sz w:val="28"/>
          <w:szCs w:val="28"/>
        </w:rPr>
        <w:t>用户身份、组织、人员等基础信息以 Nova Platform 或集团统一平台为上位来源。物资系统不另建独立身份体系，但可以维护本系统业务角色、功能权限、数据权限、审批规则和本地业务副本。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职责分离，避免一人包办</w:t>
      </w:r>
    </w:p>
    <w:p>
      <w:r>
        <w:rPr>
          <w:rFonts w:ascii="宋体" w:hAnsi="宋体" w:eastAsia="宋体" w:cs="宋体"/>
          <w:sz w:val="28"/>
          <w:szCs w:val="28"/>
        </w:rPr>
        <w:t>发起、审核、执行、复核、财务确认和系统配置等关键职责应分离。尤其是库存调整、付款申请、接口重推、月结反结、黑名单解除等场景，不应由同一角色独立完成闭环。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分级授权，按组织和职责控制数据</w:t>
      </w:r>
    </w:p>
    <w:p>
      <w:r>
        <w:rPr>
          <w:rFonts w:ascii="宋体" w:hAnsi="宋体" w:eastAsia="宋体" w:cs="宋体"/>
          <w:sz w:val="28"/>
          <w:szCs w:val="28"/>
        </w:rPr>
        <w:t>集团、矿厂、仓库、使用单位、岗位和角色应形成分级授权。普通角色默认只能查看和处理职责范围内数据，集团角色按授权查看汇总或穿透明细。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高敏感操作专项控制</w:t>
      </w:r>
    </w:p>
    <w:p>
      <w:r>
        <w:rPr>
          <w:rFonts w:ascii="宋体" w:hAnsi="宋体" w:eastAsia="宋体" w:cs="宋体"/>
          <w:sz w:val="28"/>
          <w:szCs w:val="28"/>
        </w:rPr>
        <w:t>火工品、危险品、盘亏、报废、销毁、跨组织调拨、合同变更、付款、月结、反结、补录、接口重推、黑名单解除等操作必须具备专项权限、审批和审计。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审批可配置，规则可追溯</w:t>
      </w:r>
    </w:p>
    <w:p>
      <w:r>
        <w:rPr>
          <w:rFonts w:ascii="宋体" w:hAnsi="宋体" w:eastAsia="宋体" w:cs="宋体"/>
          <w:sz w:val="28"/>
          <w:szCs w:val="28"/>
        </w:rPr>
        <w:t>审批路由应支持按组织、金额、物资类别、业务类型、供应商状态、合同金额、库存影响和财务影响配置。审批过程和结果必须可查询、可追溯。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3.6 日志覆盖关键事实</w:t>
      </w:r>
    </w:p>
    <w:p>
      <w:r>
        <w:rPr>
          <w:rFonts w:ascii="宋体" w:hAnsi="宋体" w:eastAsia="宋体" w:cs="宋体"/>
          <w:sz w:val="28"/>
          <w:szCs w:val="28"/>
        </w:rPr>
        <w:t>所有关键业务操作、审批流转、权限变更、接口操作、数据导入导出、AI 调用和高敏感动作必须记录日志。高敏感操作应记录操作前后值、原因、审批意见和来源单据。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四、总体权限模型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权限模型建议按“身份来源、组织范围、业务角色、功能权限、数据权限、操作权限、审批权限、审计权限”八层组织。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示例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身份来源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接入 Nova Platform 或集团统一身份源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用户、人员、岗位、组织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组织范围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定义用户归属和可管理组织边界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集团、矿厂、部门、区队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业务角色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定义用户在物资系统内的业务职责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集团物资、各矿物资、仓库管理员、财务人员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功能权限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控制能进入哪些模块、页面和功能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采购计划、入库、合同、接口管理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控制能看哪些组织、仓库、单据、供应商和报表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本仓库、本单位、集团汇总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操作权限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控制能执行哪些按钮级动作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新增、提交、审核、作废、导出、重推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审批权限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控制能否审批、退回、加签、会签和终审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计划审批、付款审批、反结审批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审计权限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控制能否查看日志、导出审计记录和处理异常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操作日志、接口日志、权限变更日志</w:t>
            </w:r>
          </w:p>
        </w:tc>
      </w:tr>
    </w:tbl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014090" cy="7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409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五、角色体系概要设计</w:t>
      </w:r>
    </w:p>
    <w:p>
      <w:r>
        <w:rPr>
          <w:rFonts w:ascii="宋体" w:hAnsi="宋体" w:eastAsia="宋体" w:cs="宋体"/>
          <w:sz w:val="28"/>
          <w:szCs w:val="28"/>
        </w:rPr>
        <w:t>一期角色不宜过度细碎，但必须覆盖业务发起、业务管理、仓储执行、采购执行、质检、财务、安全、系统运维和管理查询。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角色类别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建议角色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主要权限定位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管理查询类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集团领导/管理层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查看集团汇总、重大异常、关键报表，通常不处理日常单据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信息化运维类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网信办/信息化、系统管理员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查看配置、接口状态、日志；维护角色、参数、流程和系统配置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集团物资管理、各矿物资管理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管理主数据、计划、库存业务审核、处置审核和规则确认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仓储执行类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执行到货、入库、出库、退料、调拨、盘点等现场业务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业务申请类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使用单位/区队申请人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发起需求、领料、退料、物料新增等申请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采购执行类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处理采购计划执行、订单、合同、付款申请和供应商协同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质检控制类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质检人员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登记质检结果、不合格处理意见和让步接收意见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财务控制类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财务人员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参与成本中心、付款、月结、反结、接口结果和对账处理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安全专项类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安全部门角色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参与火工品、危险品、安全专项物资和销毁处置审批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审计查询类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审计/监督查询角色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查看授权范围内日志、业务链路和异常台账，不直接改业务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角色设计要求：</w:t>
      </w:r>
    </w:p>
    <w:p>
      <w:r>
        <w:rPr>
          <w:rFonts w:ascii="宋体" w:hAnsi="宋体" w:eastAsia="宋体" w:cs="宋体"/>
          <w:sz w:val="28"/>
          <w:szCs w:val="28"/>
        </w:rPr>
        <w:t>- 一个用户可拥有多个业务角色，但审批和执行职责冲突时应限制同一单据闭环操作。</w:t>
      </w:r>
    </w:p>
    <w:p>
      <w:r>
        <w:rPr>
          <w:rFonts w:ascii="宋体" w:hAnsi="宋体" w:eastAsia="宋体" w:cs="宋体"/>
          <w:sz w:val="28"/>
          <w:szCs w:val="28"/>
        </w:rPr>
        <w:t>- 系统管理员可配置权限和流程，但不应代替业务角色处理业务事实。</w:t>
      </w:r>
    </w:p>
    <w:p>
      <w:r>
        <w:rPr>
          <w:rFonts w:ascii="宋体" w:hAnsi="宋体" w:eastAsia="宋体" w:cs="宋体"/>
          <w:sz w:val="28"/>
          <w:szCs w:val="28"/>
        </w:rPr>
        <w:t>- 财务人员可审核财务条件和接口结果，不应直接修改仓库现场业务。</w:t>
      </w:r>
    </w:p>
    <w:p>
      <w:r>
        <w:rPr>
          <w:rFonts w:ascii="宋体" w:hAnsi="宋体" w:eastAsia="宋体" w:cs="宋体"/>
          <w:sz w:val="28"/>
          <w:szCs w:val="28"/>
        </w:rPr>
        <w:t>- 仓库管理员可执行库存业务，不应拥有盘亏报废终审、反结、接口重推等高敏感终权。</w:t>
      </w:r>
    </w:p>
    <w:p>
      <w:r>
        <w:rPr>
          <w:rFonts w:ascii="宋体" w:hAnsi="宋体" w:eastAsia="宋体" w:cs="宋体"/>
          <w:sz w:val="28"/>
          <w:szCs w:val="28"/>
        </w:rPr>
        <w:t>- 审计查询角色原则上只读，不应拥有业务修改、审批或系统配置权限。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六、功能权限概要设计</w:t>
      </w:r>
    </w:p>
    <w:p>
      <w:r>
        <w:rPr>
          <w:rFonts w:ascii="宋体" w:hAnsi="宋体" w:eastAsia="宋体" w:cs="宋体"/>
          <w:sz w:val="28"/>
          <w:szCs w:val="28"/>
        </w:rPr>
        <w:t>功能权限应按模块、菜单、页面、按钮和导出能力分层配置。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权限粒度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控制是否可进入基础档案、主数据、计划、招投标、合同、库存、接口、报表等模块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菜单权限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控制是否显示某类业务菜单，如采购计划、采购入库、领料出库、盘点任务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页面权限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控制是否可访问台账页、明细页、审批页、配置页、日志页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控制新增、编辑、删除、提交、撤回、审核、驳回、作废、冲销、重推等操作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导入权限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控制主数据、期初数据、供应商、映射关系等批量导入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导出权限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控制报表、台账、日志、审计结果等导出，关键导出需留痕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配置权限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控制流程、角色、参数、字典、接口、预警规则等配置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功能权限控制原则：</w:t>
      </w:r>
    </w:p>
    <w:p>
      <w:r>
        <w:rPr>
          <w:rFonts w:ascii="宋体" w:hAnsi="宋体" w:eastAsia="宋体" w:cs="宋体"/>
          <w:sz w:val="28"/>
          <w:szCs w:val="28"/>
        </w:rPr>
        <w:t>- 菜单可见不代表具备操作权限。</w:t>
      </w:r>
    </w:p>
    <w:p>
      <w:r>
        <w:rPr>
          <w:rFonts w:ascii="宋体" w:hAnsi="宋体" w:eastAsia="宋体" w:cs="宋体"/>
          <w:sz w:val="28"/>
          <w:szCs w:val="28"/>
        </w:rPr>
        <w:t>- 查询权限、导出权限、审批权限和配置权限必须分离。</w:t>
      </w:r>
    </w:p>
    <w:p>
      <w:r>
        <w:rPr>
          <w:rFonts w:ascii="宋体" w:hAnsi="宋体" w:eastAsia="宋体" w:cs="宋体"/>
          <w:sz w:val="28"/>
          <w:szCs w:val="28"/>
        </w:rPr>
        <w:t>- 高敏感操作必须独立授权，不应默认随模块权限开放。</w:t>
      </w:r>
    </w:p>
    <w:p>
      <w:r>
        <w:rPr>
          <w:rFonts w:ascii="宋体" w:hAnsi="宋体" w:eastAsia="宋体" w:cs="宋体"/>
          <w:sz w:val="28"/>
          <w:szCs w:val="28"/>
        </w:rPr>
        <w:t>- 批量导入、批量修改、批量导出必须纳入专项权限和日志审计。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七、数据权限概要设计</w:t>
      </w:r>
    </w:p>
    <w:p>
      <w:r>
        <w:rPr>
          <w:rFonts w:ascii="宋体" w:hAnsi="宋体" w:eastAsia="宋体" w:cs="宋体"/>
          <w:sz w:val="28"/>
          <w:szCs w:val="28"/>
        </w:rPr>
        <w:t>数据权限用于控制用户能看哪些业务数据和报表结果。建议至少按组织、仓库、使用单位、供应商、物料类别和角色职责控制。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数据维度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控制目标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控制集团、矿厂、部门、区队等组织层级数据可见性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控制仓库管理员和物资管理人员可见库存、出入库和盘点范围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控制需求提报、领料、退料和成本归集相关数据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物料类别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控制火工品、危险品、安全专项物资等特殊类别可见和操作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控制采购、合同、供应商资质和履约信息可见性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控制合同台账、付款节点、付款申请和合同附件可见性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控制汇总报表、明细穿透和跨组织导出范围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数据权限生效原则：</w:t>
      </w:r>
    </w:p>
    <w:p>
      <w:r>
        <w:rPr>
          <w:rFonts w:ascii="宋体" w:hAnsi="宋体" w:eastAsia="宋体" w:cs="宋体"/>
          <w:sz w:val="28"/>
          <w:szCs w:val="28"/>
        </w:rPr>
        <w:t>- 明细查询、台账查询、报表穿透、AI 查询和导出应使用同一套数据权限。</w:t>
      </w:r>
    </w:p>
    <w:p>
      <w:r>
        <w:rPr>
          <w:rFonts w:ascii="宋体" w:hAnsi="宋体" w:eastAsia="宋体" w:cs="宋体"/>
          <w:sz w:val="28"/>
          <w:szCs w:val="28"/>
        </w:rPr>
        <w:t>- 集团层角色可按授权查看汇总数据；是否能穿透明细需单独授权。</w:t>
      </w:r>
    </w:p>
    <w:p>
      <w:r>
        <w:rPr>
          <w:rFonts w:ascii="宋体" w:hAnsi="宋体" w:eastAsia="宋体" w:cs="宋体"/>
          <w:sz w:val="28"/>
          <w:szCs w:val="28"/>
        </w:rPr>
        <w:t>- 仓库管理员默认仅查看本仓库或授权仓库数据。</w:t>
      </w:r>
    </w:p>
    <w:p>
      <w:r>
        <w:rPr>
          <w:rFonts w:ascii="宋体" w:hAnsi="宋体" w:eastAsia="宋体" w:cs="宋体"/>
          <w:sz w:val="28"/>
          <w:szCs w:val="28"/>
        </w:rPr>
        <w:t>- 使用单位默认仅查看本单位发起或相关的需求、领料和退料数据。</w:t>
      </w:r>
    </w:p>
    <w:p>
      <w:r>
        <w:rPr>
          <w:rFonts w:ascii="宋体" w:hAnsi="宋体" w:eastAsia="宋体" w:cs="宋体"/>
          <w:sz w:val="28"/>
          <w:szCs w:val="28"/>
        </w:rPr>
        <w:t>- 财务人员可查看财务触发相关数据，但不代表可修改业务源单据。</w:t>
      </w:r>
    </w:p>
    <w:p>
      <w:r>
        <w:rPr>
          <w:rFonts w:ascii="宋体" w:hAnsi="宋体" w:eastAsia="宋体" w:cs="宋体"/>
          <w:sz w:val="28"/>
          <w:szCs w:val="28"/>
        </w:rPr>
        <w:t>- 安全部门可查看特殊物资相关数据，不默认查看全部普通物资数据。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八、审批模型概要设计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审批模型建议采用“单据类型 + 组织范围 + 金额阈值 + 物资类别 + 财务影响 + 特殊标识”的规则组合。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2913059" cy="777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3059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8.1 审批节点类型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节点类型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创建并提交单据，必须记录发起组织、发起人、业务原因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初审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由业务归口角色确认业务必要性、数据完整性和合规性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复核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对金额、特殊物资、库存影响、合同影响、财务影响进行复核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会签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财务、安全、质检、合同等专项角色并行或顺序参与确认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终审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由授权管理层或归口负责人确认高影响业务事项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审批通过后由仓库、采购、系统或接口任务执行业务动作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归档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审批意见、附件、执行结果和日志进入可追溯记录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8.2 审批路由条件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条件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示例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组织层级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各矿内审批、集团审批、跨组织会签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金额阈值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合同金额、付款金额、盘亏金额、处置金额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物资类别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火工品、危险品、安全专项、低值易耗品、大额备件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库存影响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入库、出库、退料、调拨、盘盈、盘亏、废旧处置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财务影响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付款、暂估、红冲、接口重推、反结补录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潜在、合格、负面、黑名单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新签、变更、终止、超期、超金额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未结账、已结账、已反结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8.3 审批动作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动作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校验必填、权限、数据范围和业务状态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记录意见、审批人、时间、节点和业务状态变化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驳回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必须填写原因，可退回发起人或上一节点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撤回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仅允许在未被下一节点处理前按权限撤回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加签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记录加签原因、加签人、加签节点和意见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转办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需保留原审批人、转办人、转办原因和接收人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对已终止业务单据进行受控关闭，不得物理删除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冲销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对已生效业务事实进行反向处理，需保留原单关联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九、主要业务审批边界</w:t>
      </w:r>
    </w:p>
    <w:p>
      <w:r>
        <w:rPr>
          <w:rFonts w:ascii="宋体" w:hAnsi="宋体" w:eastAsia="宋体" w:cs="宋体"/>
          <w:sz w:val="28"/>
          <w:szCs w:val="28"/>
        </w:rPr>
        <w:t>本节只固化概要审批边界，不复制完整审批矩阵。详细审批节点、金额阈值、岗位人员和流程配置以实施阶段确认为准。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业务类别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发起主体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关键审批/参与角色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高敏感升级条件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主数据新增变更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使用单位、各矿物资、集团物资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各矿物资、集团物资、财务/安全按需参与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关键物料、特殊物资、NC 映射变更、批量导入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需求与采购计划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使用单位、各矿物资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各矿物资、集团物资、管理层按金额参与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重大计划、计划外紧急采购、计划频繁调整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招投标与采购方式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采购人员、物资管理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物资管理、采购归口、必要时管理层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采购方式变更、单一来源、非招标采购例外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到货入库与退货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仓库、采购、质检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仓库、物资管理、质检、财务按需参与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质检不合格、让步接收、跨期退货、大型设备直达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领料退料调拨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使用单位、仓库、物资管理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部门负责人、各矿物资、财务按需参与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跨组织调拨、特殊物资、已结账期间调整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盘点与废旧处置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仓库、物资管理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各矿物资、财务、安全、管理层按规则参与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盘亏、报废、销毁、危险品、金额超阈值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设备与租赁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设备管理、使用单位、采购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物资管理、设备管理、财务按需参与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权属变更、报废、停租争议、重大租赁费用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合同与资金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采购人员、物资管理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物资管理、财务、管理层按金额参与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合同变更终止、超合同付款、付款条件不满足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采购、物资管理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集团物资、管理层按规则参与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黑名单列入解除、负面供应商参与采购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接口与月结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财务、信息化、系统任务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财务、系统管理员、网信办按需参与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接口重推、关闭异常、反结、补录、跨期调整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十、高敏感操作控制</w:t>
      </w:r>
    </w:p>
    <w:p>
      <w:r>
        <w:rPr>
          <w:rFonts w:ascii="宋体" w:hAnsi="宋体" w:eastAsia="宋体" w:cs="宋体"/>
          <w:sz w:val="28"/>
          <w:szCs w:val="28"/>
        </w:rPr>
        <w:t>高敏感操作必须同时满足“专项权限 + 审批或确认 + 日志留痕 + 可追溯来源”。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高敏感操作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火工品/危险品出入库和销毁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专项角色授权，安全部门参与审批，形成专项台账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盘亏、报废、销毁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按金额、品类、危险等级升级审批，财务和安全按需参与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区分调出和调入责任，必要时财务确认内部结算或对账口径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月结、反结、补录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财务主导，信息化配合，严格审批，记录期间、原因和影响范围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接口重推、关闭、异常处理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限定财务/系统管理员角色，记录原接口任务、错误原因和处理结果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合同变更、终止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记录变更原因、金额影响、履约影响和会签意见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付款申请和付款计划调整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校验合同、验收、发票、累计付款和节点比例，财务参与复核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供应商黑名单解除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集团物资或管理层审批，记录解除原因和有效期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主数据关键字段变更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记录变更前后值，必要时财务、安全或集团物资复核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批量导入和批量导出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独立权限，记录模板版本、操作人、时间、范围和结果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高敏感操作不应只依赖页面提示控制，必须在后端权限、业务状态和审计日志层面共同校验。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十一、审计日志概要设计</w:t>
      </w:r>
    </w:p>
    <w:p>
      <w:r>
        <w:rPr>
          <w:rFonts w:ascii="宋体" w:hAnsi="宋体" w:eastAsia="宋体" w:cs="宋体"/>
          <w:sz w:val="28"/>
          <w:szCs w:val="28"/>
        </w:rPr>
        <w:t>审计日志应覆盖用户行为、业务事实、审批过程、接口处理、配置变更、数据导入导出和 AI 调用。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覆盖内容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关键审计字段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登录日志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登录成功、失败、登出、Token 刷新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用户、组织、IP、时间、终端、结果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新增、修改、删除、提交、作废、冲销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操作人、动作、对象、前后值、原因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同意、驳回、加签、转办、撤回、终审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审批人、节点、意见、时间、流转路径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用户授权、角色调整、数据范围调整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变更人、被变更人、角色、范围、前后值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推送、回执、失败、重试、关闭、重推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 ID、来源单号、请求流水、状态、错误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导入日志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主数据、期初、映射、供应商批量导入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模板版本、成功失败明细、校验结果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导出日志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报表、台账、日志、审计数据导出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导出人、范围、条件、数量、文件标识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调用日志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Tool 调用、参数、权限校验、返回摘要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调用人、Tool、参数、数据范围、结果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系统异常、接口异常、任务异常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错误码、错误信息、堆栈摘要、处理状态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审计日志设计原则：</w:t>
      </w:r>
    </w:p>
    <w:p>
      <w:r>
        <w:rPr>
          <w:rFonts w:ascii="宋体" w:hAnsi="宋体" w:eastAsia="宋体" w:cs="宋体"/>
          <w:sz w:val="28"/>
          <w:szCs w:val="28"/>
        </w:rPr>
        <w:t>- 关键操作必须能追溯到人、时间、组织、动作、对象和结果。</w:t>
      </w:r>
    </w:p>
    <w:p>
      <w:r>
        <w:rPr>
          <w:rFonts w:ascii="宋体" w:hAnsi="宋体" w:eastAsia="宋体" w:cs="宋体"/>
          <w:sz w:val="28"/>
          <w:szCs w:val="28"/>
        </w:rPr>
        <w:t>- 高敏感字段变更应记录字段级前后值。</w:t>
      </w:r>
    </w:p>
    <w:p>
      <w:r>
        <w:rPr>
          <w:rFonts w:ascii="宋体" w:hAnsi="宋体" w:eastAsia="宋体" w:cs="宋体"/>
          <w:sz w:val="28"/>
          <w:szCs w:val="28"/>
        </w:rPr>
        <w:t>- 日志不得被普通业务角色修改或删除。</w:t>
      </w:r>
    </w:p>
    <w:p>
      <w:r>
        <w:rPr>
          <w:rFonts w:ascii="宋体" w:hAnsi="宋体" w:eastAsia="宋体" w:cs="宋体"/>
          <w:sz w:val="28"/>
          <w:szCs w:val="28"/>
        </w:rPr>
        <w:t>- 日志查询和导出本身也应记录审计日志。</w:t>
      </w:r>
    </w:p>
    <w:p>
      <w:r>
        <w:rPr>
          <w:rFonts w:ascii="宋体" w:hAnsi="宋体" w:eastAsia="宋体" w:cs="宋体"/>
          <w:sz w:val="28"/>
          <w:szCs w:val="28"/>
        </w:rPr>
        <w:t>- 日志保留周期、归档策略和脱敏策略应按集团运维与安全制度在详细设计阶段确定。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十二、与外部平台的边界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12.1 与 Nova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身份认证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Nova 或集团统一平台为身份来源，物资系统接入 SSO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组织人员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组织、人员、岗位来自平台，物资系统保存业务副本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业务角色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物资系统维护本系统业务角色，不反向作为集团统一角色源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结合平台组织范围和物资系统仓库、业务角色、物料类别配置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审批人解析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可通过平台人员组织数据解析，也可按本系统角色 + 组织规则配置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12.2 与 NC 财务系统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财务审批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物资系统负责付款申请、月结反结等业务审批留痕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实际付款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或财务系统负责实际付款和财务处理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物资系统记录重推权限、审批、原因和结果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对账异常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财务和物资系统共同处理，处理过程必须留痕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12.3 与统一 AI 平台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权限继承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Tool 调用必须继承物资系统身份、角色和数据权限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只读优先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 AI 能力以查询、分析、预警和追溯为主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高风险限制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审批、反结、重推、付款、黑名单解除等不作为一期 AI 自动执行范围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审计留痕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调用必须记录调用人、参数、数据范围和结果摘要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十三、后续详细设计输入</w:t>
      </w:r>
    </w:p>
    <w:p>
      <w:r>
        <w:rPr>
          <w:rFonts w:ascii="宋体" w:hAnsi="宋体" w:eastAsia="宋体" w:cs="宋体"/>
          <w:sz w:val="28"/>
          <w:szCs w:val="28"/>
        </w:rPr>
        <w:t>权限审批与审计概要设计完成后，详细设计阶段应继续细化以下内容：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角色清单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明确角色编码、角色名称、适用组织、互斥关系和默认权限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功能权限树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明确模块、菜单、页面、按钮、导入导出、配置项权限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数据权限规则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明确组织、仓库、使用单位、物料类别、供应商、合同范围过滤规则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审批流程模板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明确每类单据的节点、路由条件、加签转办、撤回作废规则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金额和类别阈值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明确采购、合同、付款、盘亏、报废、处置等升级审批阈值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高敏感清单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明确专项权限编码、审批要求、日志字段和二次确认规则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日志字段清单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明确各类日志字段、索引、查询条件、保留周期和归档策略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权限初始化模板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明确上线初始化时用户、角色、组织、仓库和审批人配置模板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权限测试用例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覆盖越权访问、跨组织查询、导出控制、审批越权、高敏感操作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运维审计流程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明确日志查询、异常处理、权限变更复核和审计导出流程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十四、一句话结论</w:t>
      </w:r>
    </w:p>
    <w:p>
      <w:r>
        <w:rPr>
          <w:rFonts w:ascii="宋体" w:hAnsi="宋体" w:eastAsia="宋体" w:cs="宋体"/>
          <w:sz w:val="28"/>
          <w:szCs w:val="28"/>
        </w:rPr>
        <w:t>权限、审批与审计设计的核心不是简单分配菜单，而是用统一身份、本地业务角色、数据范围过滤、审批路由和日志审计共同形成内控闭环。后续详细设计必须先固化角色、权限树、数据范围、审批模板、高敏感清单和日志字段，再进入页面和流程配置。</w:t>
      </w:r>
    </w:p>
    <w:sectPr w:rsidR="00FC693F" w:rsidRPr="0006063C" w:rsidSect="00034616">
      <w:headerReference w:type="default" r:id="rId11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