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报表预警与 AI 能力概要设计（V0.1）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上位文档：</w:t>
      </w:r>
      <w:r>
        <w:rPr>
          <w:rFonts w:ascii="宋体" w:hAnsi="宋体" w:eastAsia="宋体" w:cs="宋体"/>
          <w:sz w:val="28"/>
          <w:szCs w:val="28"/>
        </w:rPr>
        <w:t xml:space="preserve"> `00-概要设计总览-v0.1.md`、`01-总体架构与集成边界-v0.1.md`、`02-业务模块概要设计-v0.1.md`、`03-主数据与编码概要设计-v0.1.md`、`04-权限审批与审计概要设计-v0.1.md`、`05-NC接口与对账概要设计-v0.1.md`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概要设计专题文档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本文档用于在概要设计阶段明确物资供应管理系统一期报表预警与 AI 能力的边界、分层、对象范围、权限控制和审计要求。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一期至少应形成哪些基础报表、台账、查询和管理分析能力</w:t>
      </w:r>
    </w:p>
    <w:p>
      <w:r>
        <w:rPr>
          <w:rFonts w:ascii="宋体" w:hAnsi="宋体" w:eastAsia="宋体" w:cs="宋体"/>
          <w:sz w:val="28"/>
          <w:szCs w:val="28"/>
        </w:rPr>
        <w:t>- 预警规则应如何组织，怎样做到可配置、可解释、可闭环</w:t>
      </w:r>
    </w:p>
    <w:p>
      <w:r>
        <w:rPr>
          <w:rFonts w:ascii="宋体" w:hAnsi="宋体" w:eastAsia="宋体" w:cs="宋体"/>
          <w:sz w:val="28"/>
          <w:szCs w:val="28"/>
        </w:rPr>
        <w:t>- 统一 AI 入口接入时，本系统应开放哪些 Tool 能力以及如何受控调用</w:t>
      </w:r>
    </w:p>
    <w:p>
      <w:r>
        <w:rPr>
          <w:rFonts w:ascii="宋体" w:hAnsi="宋体" w:eastAsia="宋体" w:cs="宋体"/>
          <w:sz w:val="28"/>
          <w:szCs w:val="28"/>
        </w:rPr>
        <w:t>- 报表、预警、AI 查询、导出和审计之间如何共用一套数据口径与权限边界</w:t>
      </w:r>
    </w:p>
    <w:p>
      <w:r>
        <w:rPr>
          <w:rFonts w:ascii="宋体" w:hAnsi="宋体" w:eastAsia="宋体" w:cs="宋体"/>
          <w:sz w:val="28"/>
          <w:szCs w:val="28"/>
        </w:rPr>
        <w:t>- 哪些事项应在概要设计阶段明确，哪些留到详细设计、原型设计和实施联调阶段继续细化</w:t>
      </w:r>
    </w:p>
    <w:p>
      <w:r>
        <w:rPr>
          <w:rFonts w:ascii="宋体" w:hAnsi="宋体" w:eastAsia="宋体" w:cs="宋体"/>
          <w:sz w:val="28"/>
          <w:szCs w:val="28"/>
        </w:rPr>
        <w:t>本文档不直接固化最终 BI 产品选型、物理统计表结构、缓存策略、页面布局、图表样式、消息模板文案和 Prompt 细节。</w:t>
      </w:r>
    </w:p>
    <w:p>
      <w:r>
        <w:rPr>
          <w:rFonts w:ascii="宋体" w:hAnsi="宋体" w:eastAsia="宋体" w:cs="宋体"/>
          <w:sz w:val="28"/>
          <w:szCs w:val="28"/>
        </w:rPr>
        <w:t>本文档是概要设计阶段报表预警与 AI 能力的权威边界文件；模块文档、权限文档和 AI 附件中的相关描述只保留必要引用，不重复维护本文件中的设计细节。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`docs/需求梳理/06-模块功能清单（需求沟通版）-V1.0.md`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明确模块十四“报表预警与查询分析”和模块十五“系统管理与基础支撑”范围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`docs/需求梳理/07-角色权限与审批矩阵-V1.0.md`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明确管理查询角色、导出权限、高敏感控制和跨组织查看边界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`docs/需求梳理/11-报审需求来源对照表-V1.0.md`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明确报表统计、预警、导出留痕和 AI 能力开放已纳入一期正式范围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`docs/招标/物资供应管理系统招标技术要求-v1.1.md`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明确第九章报表预警与查询要求、第十一章统一 AI 入口接入要求和验收边界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`docs/招标/附件五-AI接入能力要求及验收条款-v1.1.md`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8 类最低能力开放范围、Tool 要求、联调交付物和验收项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`docs/概要设计/03-主数据与编码概要设计-v0.1.md`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明确报表统计维度、主数据权威来源、编码和映射关系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`docs/概要设计/04-权限审批与审计概要设计-v0.1.md`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明确报表、导出、AI 查询、异常日志和审计日志的一致控制要求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`docs/概要设计/05-NC接口与对账概要设计-v0.1.md`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明确接口状态、失败清单、映射缺失、对账差异和月结数据边界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`docs/集团统筹/集团业务系统统一建设原则-V2.0.md`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约束统一身份、统一接口、日志审计、私有化部署和 AI 入口接入方式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三、设计原则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先统一口径，再呈现图表</w:t>
      </w:r>
    </w:p>
    <w:p>
      <w:r>
        <w:rPr>
          <w:rFonts w:ascii="宋体" w:hAnsi="宋体" w:eastAsia="宋体" w:cs="宋体"/>
          <w:sz w:val="28"/>
          <w:szCs w:val="28"/>
        </w:rPr>
        <w:t>报表和 AI 查询首先要解决“口径一致”，然后才是展示形式。库存、计划、合同、供应商、接口状态、付款、设备租赁等指标必须来自受控业务事实，不能由各报表页面各自计算出不同结果。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报表、预警、AI 同源</w:t>
      </w:r>
    </w:p>
    <w:p>
      <w:r>
        <w:rPr>
          <w:rFonts w:ascii="宋体" w:hAnsi="宋体" w:eastAsia="宋体" w:cs="宋体"/>
          <w:sz w:val="28"/>
          <w:szCs w:val="28"/>
        </w:rPr>
        <w:t>报表、预警和 AI 查询应共享同一套业务数据边界、统计维度和指标定义。不能出现人工查询看到的数据、报表看到的数据和 AI 返回的数据互相矛盾。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预警必须可解释、可闭环</w:t>
      </w:r>
    </w:p>
    <w:p>
      <w:r>
        <w:rPr>
          <w:rFonts w:ascii="宋体" w:hAnsi="宋体" w:eastAsia="宋体" w:cs="宋体"/>
          <w:sz w:val="28"/>
          <w:szCs w:val="28"/>
        </w:rPr>
        <w:t>每条预警都应说明来源对象、触发条件、阈值、命中时间、接收对象和解除条件。预警不是“红点提醒”，而是可追溯、可处理、可关闭的管理对象。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3.4 AI 只走受控业务接口</w:t>
      </w:r>
    </w:p>
    <w:p>
      <w:r>
        <w:rPr>
          <w:rFonts w:ascii="宋体" w:hAnsi="宋体" w:eastAsia="宋体" w:cs="宋体"/>
          <w:sz w:val="28"/>
          <w:szCs w:val="28"/>
        </w:rPr>
        <w:t>统一 AI 平台调用本系统能力时，只能通过标准业务 API / Tool 获取结构化结果，不得直接访问底层数据库，不得绕过本系统权限和日志体系。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3.5 查询、导出、AI 共用一套权限</w:t>
      </w:r>
    </w:p>
    <w:p>
      <w:r>
        <w:rPr>
          <w:rFonts w:ascii="宋体" w:hAnsi="宋体" w:eastAsia="宋体" w:cs="宋体"/>
          <w:sz w:val="28"/>
          <w:szCs w:val="28"/>
        </w:rPr>
        <w:t>同一用户在列表查询、报表穿透、Excel/PDF 导出和 AI 查询中，应遵循同一套组织范围、仓库范围、业务角色和敏感字段控制规则。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3.6 一期先固化基础能力</w:t>
      </w:r>
    </w:p>
    <w:p>
      <w:r>
        <w:rPr>
          <w:rFonts w:ascii="宋体" w:hAnsi="宋体" w:eastAsia="宋体" w:cs="宋体"/>
          <w:sz w:val="28"/>
          <w:szCs w:val="28"/>
        </w:rPr>
        <w:t>一期重点形成基础报表、基础预警、全流程追溯、受控导出和 8 类最低 AI Tool 能力。复杂经营驾驶舱、自由建模 BI、智能预测和自动决策可作为二期增强。</w:t>
      </w:r>
    </w:p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四、总体能力模型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一期报表预警与 AI 能力建议按“业务事实层、统计口径层、应用输出层、审计治理层”组织。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251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4.1 能力域划分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能力域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主要内容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一期关注点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基础报表与台账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库存、收发存、采购入库、调拨、盘点、废旧处置、物料编码、接口状态等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先把台账和基础统计跑通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管理分析与追溯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价格趋势、计划完成率、周转率、履约率、合同执行、预支付汇总、发票审计、全流程追溯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形成管理闭环，不追求复杂 BI 平台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预警服务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低库存、超储、临期、合同到期、付款到期、接口失败、映射缺失、资质过期等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统一规则、统一接收、统一闭环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Tool 服务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库存、出入库、采购到货、供应商、消耗分析、预警识别、合同付款、设备租赁查询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只读优先、结构化返回、可联调验收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导出与审计治理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Excel/PDF 导出、在线打印、水印、导出留痕、AI 调用日志、异常日志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满足内控、审计和答疑需要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4.2 与其他专题的边界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本文档边界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其他文档边界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统计维度来源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说明哪些统计维度必须引用统一主数据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主数据对象和编码规则以 `03` 为准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权限与导出控制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说明报表、导出、AI 查询如何受控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角色、权限树和日志字段以 `04` 为准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接口失败和对账类指标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说明接口状态报表、失败告警、差异清单如何纳入报表预警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 ID、状态矩阵和对账规则以 `05` 为准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接入验收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 Tool 范围和受控边界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联调交付和验收条款以招标正文第十一章及附件五为准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五、报表体系概要设计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报表分层</w:t>
      </w:r>
    </w:p>
    <w:p>
      <w:r>
        <w:rPr>
          <w:rFonts w:ascii="宋体" w:hAnsi="宋体" w:eastAsia="宋体" w:cs="宋体"/>
          <w:sz w:val="28"/>
          <w:szCs w:val="28"/>
        </w:rPr>
        <w:t>一期报表建议按五层组织，避免简单堆叠查询页面。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典型输出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明细台账层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直接反映业务事实和单据结果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库存余额表、调拨台账、合同执行台账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汇总统计层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按组织、仓库、供应商、物料、期间汇总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采购入库汇总表、领料汇总表、月度预支付汇总表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管理分析层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面向管理层的趋势、比率和结构分析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价格趋势图、计划完成率、周转率、履约率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追溯核查层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支撑审计、答疑、对账和异常排查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发票审计表、接口推送状态表、全流程追溯查询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可视化展示层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以看板和图表形式展示重点指标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关键预警看板、库存风险分布、合同风险分布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一期基础报表清单</w:t>
      </w:r>
    </w:p>
    <w:p>
      <w:r>
        <w:rPr>
          <w:rFonts w:ascii="宋体" w:hAnsi="宋体" w:eastAsia="宋体" w:cs="宋体"/>
          <w:sz w:val="28"/>
          <w:szCs w:val="28"/>
        </w:rPr>
        <w:t>一期至少纳入以下报表与台账能力，正式口径与招标正文第九章一致。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报表/台账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主要统计维度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主要使用对象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库存与仓储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库存余额表、收发存报表、领料汇总表、调拨台账、盘点差异表、废旧处置台账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组织、仓库、物料、批次、期间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物资管理、仓库、审计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采购与计划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采购入库汇总表、计划完成率统计表、采购价格变动趋势表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组织、供应商、物料、时间、采购方式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采购、物资管理、管理层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主数据与规则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物料编码台账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分类、编码、状态、映射关系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主数据管理员、采购、仓库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财务接口与核查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接口推送状态表、暂估未冲销清单、发票审计表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组织、接口状态、业务单据、期间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财务、网信办、实施运维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库存风险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呆滞库存清单、火工品专项台账、安全专项物资台账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仓库、物料类别、使用单位、期间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物资管理、安全管理、管理层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合同与付款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合同执行台账、月度预支付汇总表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组织、供应商、合同、账期、付款节点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采购、财务、管理层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供应商、效率与租赁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物资周转率统计表、供应商履约率统计表、设备租赁费用汇总表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供应商、组织、设备、合同、期间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采购、设备管理、管理层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查询与穿透要求</w:t>
      </w:r>
    </w:p>
    <w:p>
      <w:r>
        <w:rPr>
          <w:rFonts w:ascii="宋体" w:hAnsi="宋体" w:eastAsia="宋体" w:cs="宋体"/>
          <w:sz w:val="28"/>
          <w:szCs w:val="28"/>
        </w:rPr>
        <w:t>报表设计不应停留在“看总数”，而应支持穿透到业务事实。</w:t>
      </w:r>
    </w:p>
    <w:p>
      <w:r>
        <w:rPr>
          <w:rFonts w:ascii="宋体" w:hAnsi="宋体" w:eastAsia="宋体" w:cs="宋体"/>
          <w:sz w:val="28"/>
          <w:szCs w:val="28"/>
        </w:rPr>
        <w:t>一期查询和穿透至少满足以下要求：</w:t>
      </w:r>
    </w:p>
    <w:p>
      <w:r>
        <w:rPr>
          <w:rFonts w:ascii="宋体" w:hAnsi="宋体" w:eastAsia="宋体" w:cs="宋体"/>
          <w:sz w:val="28"/>
          <w:szCs w:val="28"/>
        </w:rPr>
        <w:t>- 支持按组织、矿厂、部门、仓库、物料分类、物料编码、供应商、合同、期间、单据状态等多条件组合查询。</w:t>
      </w:r>
    </w:p>
    <w:p>
      <w:r>
        <w:rPr>
          <w:rFonts w:ascii="宋体" w:hAnsi="宋体" w:eastAsia="宋体" w:cs="宋体"/>
          <w:sz w:val="28"/>
          <w:szCs w:val="28"/>
        </w:rPr>
        <w:t>- 支持从汇总报表穿透到明细单据，再追溯到来源单据、审批、执行和接口状态。</w:t>
      </w:r>
    </w:p>
    <w:p>
      <w:r>
        <w:rPr>
          <w:rFonts w:ascii="宋体" w:hAnsi="宋体" w:eastAsia="宋体" w:cs="宋体"/>
          <w:sz w:val="28"/>
          <w:szCs w:val="28"/>
        </w:rPr>
        <w:t>- 支持物资全流程追溯查询，至少覆盖“需求提报 -&gt; 采购计划 -&gt; 招投标协同 -&gt; 合同 -&gt; 到货验收 -&gt; 入库 -&gt; 领用/调拨/盘点/处置 -&gt; NC 接口”。</w:t>
      </w:r>
    </w:p>
    <w:p>
      <w:r>
        <w:rPr>
          <w:rFonts w:ascii="宋体" w:hAnsi="宋体" w:eastAsia="宋体" w:cs="宋体"/>
          <w:sz w:val="28"/>
          <w:szCs w:val="28"/>
        </w:rPr>
        <w:t>- 支持管理层查看汇总和趋势，业务人员查看明细和可执行对象，财务人员查看接口和核查对象。</w:t>
      </w:r>
    </w:p>
    <w:p>
      <w:r>
        <w:rPr>
          <w:rFonts w:ascii="宋体" w:hAnsi="宋体" w:eastAsia="宋体" w:cs="宋体"/>
          <w:sz w:val="28"/>
          <w:szCs w:val="28"/>
        </w:rPr>
        <w:t>- 支持在线打印、Excel 导出、PDF 导出，但导出边界必须受控。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5.4 指标刷新与统计口径原则</w:t>
      </w:r>
    </w:p>
    <w:p>
      <w:r>
        <w:rPr>
          <w:rFonts w:ascii="宋体" w:hAnsi="宋体" w:eastAsia="宋体" w:cs="宋体"/>
          <w:sz w:val="28"/>
          <w:szCs w:val="28"/>
        </w:rPr>
        <w:t>概要设计阶段只固化刷新原则，不固化最终实现方案。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口径要求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刷新原则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台账类报表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直接反映业务事实和当前状态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以在线查询为主，随业务状态变化更新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接口状态类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区分业务状态、接口状态、财务状态、期间状态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与接口任务和回执同步更新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趋势分析类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使用受控统计口径，不允许页面端自行拼算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可按定时任务或增量统计刷新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比率指标类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需明确分子、分母、口径期间和异常值处理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在详细设计阶段固化公式和统计周期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看板图表类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引用上层已定义指标，不另起口径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支持管理层快速查看和异常穿透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5.5 一期与二期边界</w:t>
      </w:r>
    </w:p>
    <w:p>
      <w:r>
        <w:rPr>
          <w:rFonts w:ascii="宋体" w:hAnsi="宋体" w:eastAsia="宋体" w:cs="宋体"/>
          <w:sz w:val="28"/>
          <w:szCs w:val="28"/>
        </w:rPr>
        <w:t>一期报表重点是“基础可用、口径统一、可导出、可审计、可追溯”。以下内容不作为一期必须交付的验收前提：</w:t>
      </w:r>
    </w:p>
    <w:p>
      <w:r>
        <w:rPr>
          <w:rFonts w:ascii="宋体" w:hAnsi="宋体" w:eastAsia="宋体" w:cs="宋体"/>
          <w:sz w:val="28"/>
          <w:szCs w:val="28"/>
        </w:rPr>
        <w:t>- 自由建模式 BI 平台</w:t>
      </w:r>
    </w:p>
    <w:p>
      <w:r>
        <w:rPr>
          <w:rFonts w:ascii="宋体" w:hAnsi="宋体" w:eastAsia="宋体" w:cs="宋体"/>
          <w:sz w:val="28"/>
          <w:szCs w:val="28"/>
        </w:rPr>
        <w:t>- 超复杂驾驶舱场景编排</w:t>
      </w:r>
    </w:p>
    <w:p>
      <w:r>
        <w:rPr>
          <w:rFonts w:ascii="宋体" w:hAnsi="宋体" w:eastAsia="宋体" w:cs="宋体"/>
          <w:sz w:val="28"/>
          <w:szCs w:val="28"/>
        </w:rPr>
        <w:t>- 跨多个集团级系统的统一经营分析中台</w:t>
      </w:r>
    </w:p>
    <w:p>
      <w:r>
        <w:rPr>
          <w:rFonts w:ascii="宋体" w:hAnsi="宋体" w:eastAsia="宋体" w:cs="宋体"/>
          <w:sz w:val="28"/>
          <w:szCs w:val="28"/>
        </w:rPr>
        <w:t>- 智能预测补货、自动原因归因、自动决策推荐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六、预警模型概要设计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预警对象模型</w:t>
      </w:r>
    </w:p>
    <w:p>
      <w:r>
        <w:rPr>
          <w:rFonts w:ascii="宋体" w:hAnsi="宋体" w:eastAsia="宋体" w:cs="宋体"/>
          <w:sz w:val="28"/>
          <w:szCs w:val="28"/>
        </w:rPr>
        <w:t>预警建议作为独立业务对象管理，而不是散落在各模块页面提示中。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要素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来源单据、主数据对象、统计指标或接口事件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预警规则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触发条件、阈值、判定窗口、适用组织、例外条件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预警等级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建议至少区分提示、一般、重要、紧急四级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接收对象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按组织、岗位、角色、责任人、业务归口配置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通知方式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一期至少支持站内消息、消息中心、待办提醒；可预留统一消息平台对接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处理状态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新增、已确认、处理中、已解除、人工关闭等闭环状态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审计字段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命中时间、命中规则、处理人、处理意见、关闭原因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一期基础预警清单</w:t>
      </w:r>
    </w:p>
    <w:p>
      <w:r>
        <w:rPr>
          <w:rFonts w:ascii="宋体" w:hAnsi="宋体" w:eastAsia="宋体" w:cs="宋体"/>
          <w:sz w:val="28"/>
          <w:szCs w:val="28"/>
        </w:rPr>
        <w:t>一期至少纳入以下基础预警，正式口径与招标正文第九章一致。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预警类型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来源对象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触发基础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默认接收对象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处理关注点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低库存预警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库存台账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低于安全库存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供应科、库管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是否补货、是否调整计划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超储预警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库存台账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超过库存上限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是否压降采购、是否调拨消化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临期/过期预警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批次库存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距保质期到期达到阈值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库管、物资管理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是否优先发放、是否处置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呆滞预警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出入库记录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超过设定周期未出库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是否清理、调拨、停采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合同到期提醒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合同台账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距到期日达到阈值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采购、物资管理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是否续签、收尾或终止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付款到期提醒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付款计划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距付款节点达到阈值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是否发起审批、核对条件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设备租赁到期提醒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租赁执行单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距计划退租日达到阈值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设备管理、使用单位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是否续租或退租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设备租赁超期未退预警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租赁执行单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超过计划退租日仍在租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设备管理、使用单位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是否异常占用、责任追踪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设备租赁异常停租预警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租赁执行单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停租后超时未续租或退租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是否流程中断或数据遗漏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接口失败告警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推送或回执失败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网信办、财务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是否重推、是否人工补偿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映射缺失告警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主数据映射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物料或组织映射缺失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物资管理、网信办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是否补齐映射后再推送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资质过期提醒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供应商/物资资质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距到期日达到阈值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采购、物资管理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是否暂停采购或更新资质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6.3 预警状态流转</w:t>
      </w:r>
    </w:p>
    <w:p>
      <w:r>
        <w:rPr>
          <w:rFonts w:ascii="宋体" w:hAnsi="宋体" w:eastAsia="宋体" w:cs="宋体"/>
          <w:sz w:val="28"/>
          <w:szCs w:val="28"/>
        </w:rPr>
        <w:t>预警状态必须与业务事实、处理动作分层维护，不能因为页面“已读”就视为问题已经解决。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含义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典型动作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新增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规则首次命中，尚未确认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自动生成预警记录并通知责任人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已确认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责任人已查看并确认接手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记录确认人和确认时间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已形成处理动作，但未完全消除风险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记录处理措施、预计完成时间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已解除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触发条件已消失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自动或人工校验后关闭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人工关闭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业务确认不再继续处理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必须填写关闭原因并留痕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6.4 预警治理原则</w:t>
      </w:r>
    </w:p>
    <w:p>
      <w:r>
        <w:rPr>
          <w:rFonts w:ascii="宋体" w:hAnsi="宋体" w:eastAsia="宋体" w:cs="宋体"/>
          <w:sz w:val="28"/>
          <w:szCs w:val="28"/>
        </w:rPr>
        <w:t>- 预警规则应支持按组织、仓库、物料类别、供应商、合同类型等维度配置。</w:t>
      </w:r>
    </w:p>
    <w:p>
      <w:r>
        <w:rPr>
          <w:rFonts w:ascii="宋体" w:hAnsi="宋体" w:eastAsia="宋体" w:cs="宋体"/>
          <w:sz w:val="28"/>
          <w:szCs w:val="28"/>
        </w:rPr>
        <w:t>- 同一业务事实连续命中时，应避免重复轰炸，但不能丢失升级轨迹。</w:t>
      </w:r>
    </w:p>
    <w:p>
      <w:r>
        <w:rPr>
          <w:rFonts w:ascii="宋体" w:hAnsi="宋体" w:eastAsia="宋体" w:cs="宋体"/>
          <w:sz w:val="28"/>
          <w:szCs w:val="28"/>
        </w:rPr>
        <w:t>- 预警解除应优先依赖业务事实恢复，不建议纯手工删除。</w:t>
      </w:r>
    </w:p>
    <w:p>
      <w:r>
        <w:rPr>
          <w:rFonts w:ascii="宋体" w:hAnsi="宋体" w:eastAsia="宋体" w:cs="宋体"/>
          <w:sz w:val="28"/>
          <w:szCs w:val="28"/>
        </w:rPr>
        <w:t>- 高敏感预警的人工关闭、批量关闭和规则停用应纳入权限和审计控制。</w:t>
      </w:r>
    </w:p>
    <w:p>
      <w:r>
        <w:rPr>
          <w:rFonts w:ascii="宋体" w:hAnsi="宋体" w:eastAsia="宋体" w:cs="宋体"/>
          <w:sz w:val="28"/>
          <w:szCs w:val="28"/>
        </w:rPr>
        <w:t>- 预警处理记录应可作为管理复盘、审计取证和 AI 异常识别的数据来源。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七、AI Tool 能力概要设计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一期 AI 能力定位</w:t>
      </w:r>
    </w:p>
    <w:p>
      <w:r>
        <w:rPr>
          <w:rFonts w:ascii="宋体" w:hAnsi="宋体" w:eastAsia="宋体" w:cs="宋体"/>
          <w:sz w:val="28"/>
          <w:szCs w:val="28"/>
        </w:rPr>
        <w:t>一期 AI 能力定位为“统一入口下的受控查询、分析、预警识别和追溯辅助”，不定位为自动审批或自动执行引擎。</w:t>
      </w:r>
    </w:p>
    <w:p>
      <w:r>
        <w:rPr>
          <w:rFonts w:ascii="宋体" w:hAnsi="宋体" w:eastAsia="宋体" w:cs="宋体"/>
          <w:sz w:val="28"/>
          <w:szCs w:val="28"/>
        </w:rPr>
        <w:t>设计边界如下：</w:t>
      </w:r>
    </w:p>
    <w:p>
      <w:r>
        <w:rPr>
          <w:rFonts w:ascii="宋体" w:hAnsi="宋体" w:eastAsia="宋体" w:cs="宋体"/>
          <w:sz w:val="28"/>
          <w:szCs w:val="28"/>
        </w:rPr>
        <w:t>- AI 平台通过标准 Tool 调用本系统能力，不直接访问数据库。</w:t>
      </w:r>
    </w:p>
    <w:p>
      <w:r>
        <w:rPr>
          <w:rFonts w:ascii="宋体" w:hAnsi="宋体" w:eastAsia="宋体" w:cs="宋体"/>
          <w:sz w:val="28"/>
          <w:szCs w:val="28"/>
        </w:rPr>
        <w:t>- AI 返回结果必须基于当前登录用户或映射用户身份的权限范围。</w:t>
      </w:r>
    </w:p>
    <w:p>
      <w:r>
        <w:rPr>
          <w:rFonts w:ascii="宋体" w:hAnsi="宋体" w:eastAsia="宋体" w:cs="宋体"/>
          <w:sz w:val="28"/>
          <w:szCs w:val="28"/>
        </w:rPr>
        <w:t>- 一期以只读查询和分析为主，不开放审批、反结、重推、付款、黑名单解除等高风险自动执行能力。</w:t>
      </w:r>
    </w:p>
    <w:p>
      <w:r>
        <w:rPr>
          <w:rFonts w:ascii="宋体" w:hAnsi="宋体" w:eastAsia="宋体" w:cs="宋体"/>
          <w:sz w:val="28"/>
          <w:szCs w:val="28"/>
        </w:rPr>
        <w:t>- Tool 返回结果应以结构化数据为主，便于统一 AI 平台二次组织摘要、明细展示和多轮追问。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一期最低 Tool 清单</w:t>
      </w:r>
    </w:p>
    <w:p>
      <w:r>
        <w:rPr>
          <w:rFonts w:ascii="宋体" w:hAnsi="宋体" w:eastAsia="宋体" w:cs="宋体"/>
          <w:sz w:val="28"/>
          <w:szCs w:val="28"/>
        </w:rPr>
        <w:t>一期至少开放以下 8 类最低 Tool 能力，正式口径与招标正文第十一章及附件五一致。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Tool 编号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Tool 名称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对应能力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主要输入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主要输出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权限控制基础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AI-001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库存查询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查询当前库存、可用量、批次、低库存状态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组织、仓库、物料、批次、时间点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汇总库存、批次明细、预警标识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组织范围、仓库范围、物料可见范围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AI-002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出入库查询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查询入库、领用、退料、调拨、盘点等记录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单据类型、组织、仓库、物料、时间区间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单据列表、数量汇总、状态摘要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组织范围、仓库范围、业务单据权限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AI-003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采购与到货查询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查询采购计划、招采结果、到货和入库执行情况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计划号、供应商、物料、时间区间、执行状态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执行摘要、到货明细、未到货清单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采购范围、组织范围、供应商范围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AI-004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供应商查询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查询供应商档案、资质、履约和黑名单状态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供应商、类别、资质状态、时间区间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基础档案、资质状态、履约指标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供应商范围、敏感字段权限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AI-005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领用与消耗分析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查询领用趋势、消耗结构和单位使用情况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组织、使用单位、物料类别、时间区间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消耗趋势、对比统计、异常提示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组织范围、使用单位范围、成本中心范围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AI-006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预警与异常识别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汇总风险预警、接口失败、资质到期等异常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组织、预警类型、时间区间、等级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预警清单、等级分布、处理状态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预警可见范围、组织范围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AI-007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合同与付款查询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查询合同执行、账期、付款计划和实际回写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合同号、供应商、组织、时间区间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合同摘要、付款节点、风险标识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合同范围、金额敏感字段权限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AI-008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设备与设备租赁查询 Tool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查询设备状态、租赁执行、费用汇总和异常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设备、组织、供应商、时间区间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设备状态、租赁明细、费用摘要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设备范围、组织范围、合同范围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7.3 Tool 设计要求</w:t>
      </w:r>
    </w:p>
    <w:p>
      <w:r>
        <w:rPr>
          <w:rFonts w:ascii="宋体" w:hAnsi="宋体" w:eastAsia="宋体" w:cs="宋体"/>
          <w:sz w:val="28"/>
          <w:szCs w:val="28"/>
        </w:rPr>
        <w:t>每项 Tool 在详细设计阶段至少应继续细化以下内容：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功能说明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明确该 Tool 回答什么问题，不回答什么问题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输入参数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结构化参数、参数类型、是否必填、默认值和取值范围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输出结构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汇总字段、明细数组、分页信息、来源单号、异常提示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错误返回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参数错误、权限不足、数据不存在、结果过大、系统异常等统一错误码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明确组织、仓库、供应商、合同、敏感字段等过滤规则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审计日志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记录调用人、Tool、参数、数据范围、返回摘要、耗时和结果状态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7.4 AI 结果控制原则</w:t>
      </w:r>
    </w:p>
    <w:p>
      <w:r>
        <w:rPr>
          <w:rFonts w:ascii="宋体" w:hAnsi="宋体" w:eastAsia="宋体" w:cs="宋体"/>
          <w:sz w:val="28"/>
          <w:szCs w:val="28"/>
        </w:rPr>
        <w:t>- 结果应优先返回结构化数据，再由统一 AI 平台生成自然语言摘要。</w:t>
      </w:r>
    </w:p>
    <w:p>
      <w:r>
        <w:rPr>
          <w:rFonts w:ascii="宋体" w:hAnsi="宋体" w:eastAsia="宋体" w:cs="宋体"/>
          <w:sz w:val="28"/>
          <w:szCs w:val="28"/>
        </w:rPr>
        <w:t>- 返回结果应包含必要的时间范围、过滤条件和来源对象标识，避免“只给结论不给依据”。</w:t>
      </w:r>
    </w:p>
    <w:p>
      <w:r>
        <w:rPr>
          <w:rFonts w:ascii="宋体" w:hAnsi="宋体" w:eastAsia="宋体" w:cs="宋体"/>
          <w:sz w:val="28"/>
          <w:szCs w:val="28"/>
        </w:rPr>
        <w:t>- 对价格、合同金额、付款金额等敏感字段，应按角色控制是否展示原值、脱敏值或仅给出区间提示。</w:t>
      </w:r>
    </w:p>
    <w:p>
      <w:r>
        <w:rPr>
          <w:rFonts w:ascii="宋体" w:hAnsi="宋体" w:eastAsia="宋体" w:cs="宋体"/>
          <w:sz w:val="28"/>
          <w:szCs w:val="28"/>
        </w:rPr>
        <w:t>- 当结果条数过大时，应优先返回汇总、Top N、分页或“需缩小范围”的受控提示，不允许无限量导出。</w:t>
      </w:r>
    </w:p>
    <w:p>
      <w:r>
        <w:rPr>
          <w:rFonts w:ascii="宋体" w:hAnsi="宋体" w:eastAsia="宋体" w:cs="宋体"/>
          <w:sz w:val="28"/>
          <w:szCs w:val="28"/>
        </w:rPr>
        <w:t>- AI 查询本身不等同于导出，若需要导出完整清单，仍应走系统内受控导出能力。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7.5 与统一 AI 平台的边界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身份来源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使用统一身份或映射身份调用，本系统负责权限校验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数据访问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 AI 平台只调用 Tool，不直接访问数据库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结果生成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本系统负责提供结构化结果，统一 AI 平台负责对话组织和编排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高风险动作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审批、重推、反结、付款、删除、批量导出不作为一期 AI 自动执行范围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联调验收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提供接口文档、字段说明、示例报文、测试账号和联调记录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八、权限、导出与审计控制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8.1 权限控制原则</w:t>
      </w:r>
    </w:p>
    <w:p>
      <w:r>
        <w:rPr>
          <w:rFonts w:ascii="宋体" w:hAnsi="宋体" w:eastAsia="宋体" w:cs="宋体"/>
          <w:sz w:val="28"/>
          <w:szCs w:val="28"/>
        </w:rPr>
        <w:t>报表、预警、导出和 AI 查询必须共用同一套权限骨架，具体角色和权限树以 `04-权限审批与审计概要设计-v0.1.md` 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控制维度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设计要求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控制能看哪些集团、矿厂、部门和使用单位数据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控制能看哪些仓库、库区、货位和库存对象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业务对象范围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控制供应商、合同、设备、租赁、接口任务等对象可见范围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敏感字段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控制价格、合同金额、付款金额、成本口径等字段展示方式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导出权限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控制是否允许导出、可导出何种范围、是否需额外审批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查询权限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Tool 调用必须继承用户当前权限，不得放大查询范围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8.2 导出控制要求</w:t>
      </w:r>
    </w:p>
    <w:p>
      <w:r>
        <w:rPr>
          <w:rFonts w:ascii="宋体" w:hAnsi="宋体" w:eastAsia="宋体" w:cs="宋体"/>
          <w:sz w:val="28"/>
          <w:szCs w:val="28"/>
        </w:rPr>
        <w:t>一期导出能力应满足“可用”与“受控”并重。</w:t>
      </w:r>
    </w:p>
    <w:p>
      <w:r>
        <w:rPr>
          <w:rFonts w:ascii="宋体" w:hAnsi="宋体" w:eastAsia="宋体" w:cs="宋体"/>
          <w:sz w:val="28"/>
          <w:szCs w:val="28"/>
        </w:rPr>
        <w:t>- 支持 Excel、PDF 和在线打印等基础输出方式。</w:t>
      </w:r>
    </w:p>
    <w:p>
      <w:r>
        <w:rPr>
          <w:rFonts w:ascii="宋体" w:hAnsi="宋体" w:eastAsia="宋体" w:cs="宋体"/>
          <w:sz w:val="28"/>
          <w:szCs w:val="28"/>
        </w:rPr>
        <w:t>- 导出范围、导出字段、导出次数和大批量导出应纳入权限控制。</w:t>
      </w:r>
    </w:p>
    <w:p>
      <w:r>
        <w:rPr>
          <w:rFonts w:ascii="宋体" w:hAnsi="宋体" w:eastAsia="宋体" w:cs="宋体"/>
          <w:sz w:val="28"/>
          <w:szCs w:val="28"/>
        </w:rPr>
        <w:t>- 敏感导出应支持水印、导出日志或等效追踪机制。</w:t>
      </w:r>
    </w:p>
    <w:p>
      <w:r>
        <w:rPr>
          <w:rFonts w:ascii="宋体" w:hAnsi="宋体" w:eastAsia="宋体" w:cs="宋体"/>
          <w:sz w:val="28"/>
          <w:szCs w:val="28"/>
        </w:rPr>
        <w:t>- 跨组织、跨仓库、大范围明细或含敏感金额字段的导出，建议预留二次确认或审批扩展能力，具体阈值在详细设计阶段确定。</w:t>
      </w:r>
    </w:p>
    <w:p>
      <w:r>
        <w:rPr>
          <w:rFonts w:ascii="宋体" w:hAnsi="宋体" w:eastAsia="宋体" w:cs="宋体"/>
          <w:sz w:val="28"/>
          <w:szCs w:val="28"/>
        </w:rPr>
        <w:t>- AI 查询结果若转为正式导出，应回到业务系统内执行受控导出，不由 AI 平台直接生成可外发文件。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8.3 审计留痕要求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关键留痕要求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报表查询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记录查询人、查询条件、时间范围、结果量级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报表导出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记录导出人、导出范围、导出字段、导出文件标识、导出时间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预警处理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记录命中规则、处理人、处理意见、处理结果、关闭原因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AI 调用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记录调用人、Tool、参数、数据范围、结果摘要、异常信息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高敏感查询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对价格、付款、合同金额、大范围导出等动作加强留痕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九、后续详细设计输入</w:t>
      </w:r>
    </w:p>
    <w:p>
      <w:r>
        <w:rPr>
          <w:rFonts w:ascii="宋体" w:hAnsi="宋体" w:eastAsia="宋体" w:cs="宋体"/>
          <w:sz w:val="28"/>
          <w:szCs w:val="28"/>
        </w:rPr>
        <w:t>报表预警与 AI 能力概要设计完成后，详细设计阶段应继续细化以下内容：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报表清单字段定义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明确每张报表的字段、排序、汇总规则、穿透对象和导出口径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指标公式与统计周期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明确计划完成率、周转率、履约率、价格趋势等公式和统计周期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看板与图表布局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明确管理层看板、业务看板、异常看板的展示方案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预警阈值与接收模板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明确默认阈值、升级规则、接收对象、消息模板和停用策略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Tool API 规格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 8 类 Tool 的接口协议、参数定义、错误码和示例报文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性能与缓存策略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明确大报表、跨期间统计、分页查询和 AI 并发调用的性能方案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导出控制细则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明确导出水印模板、脱敏规则、审批阈值和文件留存策略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测试与验收用例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覆盖报表准确性、权限隔离、预警触发、Tool 调用、日志审计和异常处理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十、一句话结论</w:t>
      </w:r>
    </w:p>
    <w:p>
      <w:r>
        <w:rPr>
          <w:rFonts w:ascii="宋体" w:hAnsi="宋体" w:eastAsia="宋体" w:cs="宋体"/>
          <w:sz w:val="28"/>
          <w:szCs w:val="28"/>
        </w:rPr>
        <w:t>报表、预警与 AI 能力的核心不是多做几个图表和问答接口，而是用统一口径、统一权限、统一审计把“看得见、查得准、问得到、追得回”真正做成系统能力。后续详细设计应先固化报表字段口径、预警阈值、Tool 规格和导出控制，再进入页面与接口实现。</w:t>
      </w:r>
    </w:p>
    <w:sectPr w:rsidR="00FC693F" w:rsidRPr="0006063C" w:rsidSect="00034616">
      <w:headerReference w:type="default" r:id="rId10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