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jc w:val="left"/>
      </w:pPr>
      <w:r>
        <w:rPr>
          <w:rFonts w:ascii="宋体" w:hAnsi="宋体" w:eastAsia="宋体" w:cs="宋体"/>
          <w:b/>
          <w:sz w:val="40"/>
          <w:szCs w:val="40"/>
        </w:rPr>
        <w:t>非功能与实施约束概要设计（V0.1）</w:t>
      </w:r>
    </w:p>
    <w:p>
      <w:r>
        <w:rPr>
          <w:rFonts w:ascii="宋体" w:hAnsi="宋体" w:eastAsia="宋体" w:cs="宋体"/>
          <w:b/>
          <w:sz w:val="28"/>
          <w:szCs w:val="28"/>
        </w:rPr>
        <w:t>版本：</w:t>
      </w:r>
      <w:r>
        <w:rPr>
          <w:rFonts w:ascii="宋体" w:hAnsi="宋体" w:eastAsia="宋体" w:cs="宋体"/>
          <w:sz w:val="28"/>
          <w:szCs w:val="28"/>
        </w:rPr>
        <w:t xml:space="preserve"> V0.1</w:t>
      </w:r>
    </w:p>
    <w:p>
      <w:r>
        <w:rPr>
          <w:rFonts w:ascii="宋体" w:hAnsi="宋体" w:eastAsia="宋体" w:cs="宋体"/>
          <w:b/>
          <w:sz w:val="28"/>
          <w:szCs w:val="28"/>
        </w:rPr>
        <w:t>日期：</w:t>
      </w:r>
      <w:r>
        <w:rPr>
          <w:rFonts w:ascii="宋体" w:hAnsi="宋体" w:eastAsia="宋体" w:cs="宋体"/>
          <w:sz w:val="28"/>
          <w:szCs w:val="28"/>
        </w:rPr>
        <w:t xml:space="preserve"> 2026-04-24</w:t>
      </w:r>
    </w:p>
    <w:p>
      <w:r>
        <w:rPr>
          <w:rFonts w:ascii="宋体" w:hAnsi="宋体" w:eastAsia="宋体" w:cs="宋体"/>
          <w:b/>
          <w:sz w:val="28"/>
          <w:szCs w:val="28"/>
        </w:rPr>
        <w:t>上位文档：</w:t>
      </w:r>
      <w:r>
        <w:rPr>
          <w:rFonts w:ascii="宋体" w:hAnsi="宋体" w:eastAsia="宋体" w:cs="宋体"/>
          <w:sz w:val="28"/>
          <w:szCs w:val="28"/>
        </w:rPr>
        <w:t xml:space="preserve"> `00-概要设计总览-v0.1.md`、`01-总体架构与集成边界-v0.1.md`、`02-业务模块概要设计-v0.1.md`、`03-主数据与编码概要设计-v0.1.md`、`04-权限审批与审计概要设计-v0.1.md`、`05-NC接口与对账概要设计-v0.1.md`、`06-报表预警与AI能力概要设计-v0.1.md`</w:t>
      </w:r>
    </w:p>
    <w:p>
      <w:r>
        <w:rPr>
          <w:rFonts w:ascii="宋体" w:hAnsi="宋体" w:eastAsia="宋体" w:cs="宋体"/>
          <w:b/>
          <w:sz w:val="28"/>
          <w:szCs w:val="28"/>
        </w:rPr>
        <w:t>文档性质：</w:t>
      </w:r>
      <w:r>
        <w:rPr>
          <w:rFonts w:ascii="宋体" w:hAnsi="宋体" w:eastAsia="宋体" w:cs="宋体"/>
          <w:sz w:val="28"/>
          <w:szCs w:val="28"/>
        </w:rPr>
        <w:t xml:space="preserve"> 概要设计专题文档</w:t>
      </w:r>
    </w:p>
    <w:p>
      <w:pPr>
        <w:pStyle w:val="Heading2"/>
        <w:keepNext/>
        <w:jc w:val="left"/>
      </w:pPr>
      <w:r>
        <w:rPr>
          <w:rFonts w:ascii="宋体" w:hAnsi="宋体" w:eastAsia="宋体" w:cs="宋体"/>
          <w:b/>
          <w:sz w:val="28"/>
          <w:szCs w:val="28"/>
        </w:rPr>
        <w:t>一、文档目的</w:t>
      </w:r>
    </w:p>
    <w:p>
      <w:r>
        <w:rPr>
          <w:rFonts w:ascii="宋体" w:hAnsi="宋体" w:eastAsia="宋体" w:cs="宋体"/>
          <w:sz w:val="28"/>
          <w:szCs w:val="28"/>
        </w:rPr>
        <w:t>本文档用于在概要设计阶段明确物资供应管理系统一期建设中的非功能基线、实施约束、数据迁移、试运行、正式切换、验收支撑和运维交接要求。</w:t>
      </w:r>
    </w:p>
    <w:p>
      <w:r>
        <w:rPr>
          <w:rFonts w:ascii="宋体" w:hAnsi="宋体" w:eastAsia="宋体" w:cs="宋体"/>
          <w:sz w:val="28"/>
          <w:szCs w:val="28"/>
        </w:rPr>
        <w:t>本文档重点回答：</w:t>
      </w:r>
    </w:p>
    <w:p>
      <w:r>
        <w:rPr>
          <w:rFonts w:ascii="宋体" w:hAnsi="宋体" w:eastAsia="宋体" w:cs="宋体"/>
          <w:sz w:val="28"/>
          <w:szCs w:val="28"/>
        </w:rPr>
        <w:t>- 一期系统在部署、信创、安全、性能、可用性和运维可控方面至少应达到什么基线</w:t>
      </w:r>
    </w:p>
    <w:p>
      <w:r>
        <w:rPr>
          <w:rFonts w:ascii="宋体" w:hAnsi="宋体" w:eastAsia="宋体" w:cs="宋体"/>
          <w:sz w:val="28"/>
          <w:szCs w:val="28"/>
        </w:rPr>
        <w:t>- 实施阶段应按什么组织方式、分批策略和阶段门推进，避免“需求没稳就直接开发”</w:t>
      </w:r>
    </w:p>
    <w:p>
      <w:r>
        <w:rPr>
          <w:rFonts w:ascii="宋体" w:hAnsi="宋体" w:eastAsia="宋体" w:cs="宋体"/>
          <w:sz w:val="28"/>
          <w:szCs w:val="28"/>
        </w:rPr>
        <w:t>- 历史数据治理、初始化导入、并行运行、关键数据比对、正式切换和回退应如何受控</w:t>
      </w:r>
    </w:p>
    <w:p>
      <w:r>
        <w:rPr>
          <w:rFonts w:ascii="宋体" w:hAnsi="宋体" w:eastAsia="宋体" w:cs="宋体"/>
          <w:sz w:val="28"/>
          <w:szCs w:val="28"/>
        </w:rPr>
        <w:t>- 验收应围绕哪些对象展开，哪些交付物必须在验收前准备齐全</w:t>
      </w:r>
    </w:p>
    <w:p>
      <w:r>
        <w:rPr>
          <w:rFonts w:ascii="宋体" w:hAnsi="宋体" w:eastAsia="宋体" w:cs="宋体"/>
          <w:sz w:val="28"/>
          <w:szCs w:val="28"/>
        </w:rPr>
        <w:t>- 哪些事项应在概要设计阶段先明确，哪些留到详细设计、环境准备和实施配置阶段落地</w:t>
      </w:r>
    </w:p>
    <w:p>
      <w:r>
        <w:rPr>
          <w:rFonts w:ascii="宋体" w:hAnsi="宋体" w:eastAsia="宋体" w:cs="宋体"/>
          <w:sz w:val="28"/>
          <w:szCs w:val="28"/>
        </w:rPr>
        <w:t>本文档不直接固化最终硬件资源清单、监控产品选型、数据库实例参数、部署脚本、网络策略细项和具体项目人员名单。</w:t>
      </w:r>
    </w:p>
    <w:p>
      <w:r>
        <w:rPr>
          <w:rFonts w:ascii="宋体" w:hAnsi="宋体" w:eastAsia="宋体" w:cs="宋体"/>
          <w:sz w:val="28"/>
          <w:szCs w:val="28"/>
        </w:rPr>
        <w:t>本文档是概要设计阶段非功能与实施约束的权威边界文件；其他文档仅保留必要引用，不重复维护本文件中的基线要求。</w:t>
      </w:r>
    </w:p>
    <w:p>
      <w:pPr>
        <w:pStyle w:val="Heading2"/>
        <w:keepNext/>
        <w:jc w:val="left"/>
      </w:pPr>
      <w:r>
        <w:rPr>
          <w:rFonts w:ascii="宋体" w:hAnsi="宋体" w:eastAsia="宋体" w:cs="宋体"/>
          <w:b/>
          <w:sz w:val="28"/>
          <w:szCs w:val="28"/>
        </w:rPr>
        <w:t>二、设计依据</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0"/>
        <w:gridCol w:w="5400"/>
      </w:tblGrid>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文档</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作用</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`docs/集团统筹/集团业务系统统一建设原则-V2.0.md`</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明确私有化部署、信创适配、安全可控、实施联调、验收和运维最小合规要求</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`docs/需求梳理/01-项目目标与范围说明-V1.0.md`</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明确项目实施重点、成功标准和一期建设目标</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`docs/需求梳理/09-实施路径与阶段计划-V1.0.md`</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明确九阶段推进路径、分批交付策略、试运行、上线和验收节奏</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`docs/招标/物资供应管理系统招标技术要求-v1.1.md`</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明确第十章技术与部署要求、第十二章数据初始化与迁移要求、第十三章实施培训与上线支持要求、第十四章验收要求、第十五章运维与售后要求</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`docs/概要设计/01-总体架构与集成边界-v0.1.md`</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明确独立部署、低耦合集成、接口治理和运行边界</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`docs/概要设计/04-权限审批与审计概要设计-v0.1.md`</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明确日志审计、高敏感控制和权限配置边界</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`docs/概要设计/05-NC接口与对账概要设计-v0.1.md`</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明确接口联调、异常补偿、对账和封账要求</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`docs/概要设计/06-报表预警与AI能力概要设计-v0.1.md`</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明确报表、预警、AI 接入的性能、导出、联调和验收支撑边界</w:t>
            </w:r>
          </w:p>
        </w:tc>
      </w:tr>
    </w:tbl>
    <w:p>
      <w:pPr>
        <w:pStyle w:val="Heading2"/>
        <w:keepNext/>
        <w:jc w:val="left"/>
      </w:pPr>
      <w:r>
        <w:rPr>
          <w:rFonts w:ascii="宋体" w:hAnsi="宋体" w:eastAsia="宋体" w:cs="宋体"/>
          <w:b/>
          <w:sz w:val="28"/>
          <w:szCs w:val="28"/>
        </w:rPr>
        <w:t>三、设计原则</w:t>
      </w:r>
    </w:p>
    <w:p>
      <w:pPr>
        <w:pStyle w:val="Heading3"/>
        <w:keepNext/>
        <w:jc w:val="left"/>
      </w:pPr>
      <w:r>
        <w:rPr>
          <w:rFonts w:ascii="宋体" w:hAnsi="宋体" w:eastAsia="宋体" w:cs="宋体"/>
          <w:b/>
          <w:sz w:val="32"/>
          <w:szCs w:val="32"/>
        </w:rPr>
        <w:t>3.1 独立部署、全程可控</w:t>
      </w:r>
    </w:p>
    <w:p>
      <w:r>
        <w:rPr>
          <w:rFonts w:ascii="宋体" w:hAnsi="宋体" w:eastAsia="宋体" w:cs="宋体"/>
          <w:sz w:val="28"/>
          <w:szCs w:val="28"/>
        </w:rPr>
        <w:t>系统必须以私有化、独立数据库、统一日志审计和可持续运维为前提设计，不引入上线后无法被招标方控制和审计的关键依赖。</w:t>
      </w:r>
    </w:p>
    <w:p>
      <w:pPr>
        <w:pStyle w:val="Heading3"/>
        <w:keepNext/>
        <w:jc w:val="left"/>
      </w:pPr>
      <w:r>
        <w:rPr>
          <w:rFonts w:ascii="宋体" w:hAnsi="宋体" w:eastAsia="宋体" w:cs="宋体"/>
          <w:b/>
          <w:sz w:val="32"/>
          <w:szCs w:val="32"/>
        </w:rPr>
        <w:t>3.2 先跑通闭环，再做复杂优化</w:t>
      </w:r>
    </w:p>
    <w:p>
      <w:r>
        <w:rPr>
          <w:rFonts w:ascii="宋体" w:hAnsi="宋体" w:eastAsia="宋体" w:cs="宋体"/>
          <w:sz w:val="28"/>
          <w:szCs w:val="28"/>
        </w:rPr>
        <w:t>一期优先保障库存业务闭环、NC 财务联动、统一权限接入、基础报表预警和 AI 接入可用，不以复杂大屏、复杂 BI 或高度自动化运维作为上线前提。</w:t>
      </w:r>
    </w:p>
    <w:p>
      <w:pPr>
        <w:pStyle w:val="Heading3"/>
        <w:keepNext/>
        <w:jc w:val="left"/>
      </w:pPr>
      <w:r>
        <w:rPr>
          <w:rFonts w:ascii="宋体" w:hAnsi="宋体" w:eastAsia="宋体" w:cs="宋体"/>
          <w:b/>
          <w:sz w:val="32"/>
          <w:szCs w:val="32"/>
        </w:rPr>
        <w:t>3.3 先治理数据，再切换系统</w:t>
      </w:r>
    </w:p>
    <w:p>
      <w:r>
        <w:rPr>
          <w:rFonts w:ascii="宋体" w:hAnsi="宋体" w:eastAsia="宋体" w:cs="宋体"/>
          <w:sz w:val="28"/>
          <w:szCs w:val="28"/>
        </w:rPr>
        <w:t>历史物料、单位、分类、映射和期初库存未整理清楚时，不应直接推进正式切换。主数据质量是上线稳定性的前置条件，不是上线后的补救事项。</w:t>
      </w:r>
    </w:p>
    <w:p>
      <w:pPr>
        <w:pStyle w:val="Heading3"/>
        <w:keepNext/>
        <w:jc w:val="left"/>
      </w:pPr>
      <w:r>
        <w:rPr>
          <w:rFonts w:ascii="宋体" w:hAnsi="宋体" w:eastAsia="宋体" w:cs="宋体"/>
          <w:b/>
          <w:sz w:val="32"/>
          <w:szCs w:val="32"/>
        </w:rPr>
        <w:t>3.4 先试运行验证，再正式上线</w:t>
      </w:r>
    </w:p>
    <w:p>
      <w:r>
        <w:rPr>
          <w:rFonts w:ascii="宋体" w:hAnsi="宋体" w:eastAsia="宋体" w:cs="宋体"/>
          <w:sz w:val="28"/>
          <w:szCs w:val="28"/>
        </w:rPr>
        <w:t>系统上线前必须经过真实业务场景试运行、关键数据比对、接口稳定性验证和问题闭环，不允许跳过并行运行或以“上线后再看”为主要策略。</w:t>
      </w:r>
    </w:p>
    <w:p>
      <w:pPr>
        <w:pStyle w:val="Heading3"/>
        <w:keepNext/>
        <w:jc w:val="left"/>
      </w:pPr>
      <w:r>
        <w:rPr>
          <w:rFonts w:ascii="宋体" w:hAnsi="宋体" w:eastAsia="宋体" w:cs="宋体"/>
          <w:b/>
          <w:sz w:val="32"/>
          <w:szCs w:val="32"/>
        </w:rPr>
        <w:t>3.5 分批交付，但总体设计一次完成</w:t>
      </w:r>
    </w:p>
    <w:p>
      <w:r>
        <w:rPr>
          <w:rFonts w:ascii="宋体" w:hAnsi="宋体" w:eastAsia="宋体" w:cs="宋体"/>
          <w:sz w:val="28"/>
          <w:szCs w:val="28"/>
        </w:rPr>
        <w:t>一期可以按核心批和扩展批分批实施、分批试运行，但数据模型、接口设计、权限骨架和总体部署方案不应分裂成两套。</w:t>
      </w:r>
    </w:p>
    <w:p>
      <w:pPr>
        <w:pStyle w:val="Heading3"/>
        <w:keepNext/>
        <w:jc w:val="left"/>
      </w:pPr>
      <w:r>
        <w:rPr>
          <w:rFonts w:ascii="宋体" w:hAnsi="宋体" w:eastAsia="宋体" w:cs="宋体"/>
          <w:b/>
          <w:sz w:val="32"/>
          <w:szCs w:val="32"/>
        </w:rPr>
        <w:t>3.6 验收以可运行、可追溯、可交接为核心</w:t>
      </w:r>
    </w:p>
    <w:p>
      <w:r>
        <w:rPr>
          <w:rFonts w:ascii="宋体" w:hAnsi="宋体" w:eastAsia="宋体" w:cs="宋体"/>
          <w:sz w:val="28"/>
          <w:szCs w:val="28"/>
        </w:rPr>
        <w:t>验收不只看页面是否做出来，还应覆盖闭环业务、接口联调、数据质量、日志审计、迁移比对、文档交付、培训效果和运维交接。</w:t>
      </w:r>
    </w:p>
    <w:p>
      <w:pPr>
        <w:pStyle w:val="Heading2"/>
        <w:keepNext/>
        <w:spacing w:after="0"/>
        <w:jc w:val="left"/>
      </w:pPr>
      <w:r>
        <w:rPr>
          <w:rFonts w:ascii="宋体" w:hAnsi="宋体" w:eastAsia="宋体" w:cs="宋体"/>
          <w:b/>
          <w:sz w:val="28"/>
          <w:szCs w:val="28"/>
        </w:rPr>
        <w:t>四、非功能基线模型</w:t>
      </w:r>
    </w:p>
    <w:p>
      <w:pPr>
        <w:keepNext/>
        <w:spacing w:after="0"/>
      </w:pPr>
      <w:r>
        <w:rPr>
          <w:rFonts w:ascii="宋体" w:hAnsi="宋体" w:eastAsia="宋体" w:cs="宋体"/>
          <w:sz w:val="28"/>
          <w:szCs w:val="28"/>
        </w:rPr>
        <w:t>一期非功能与实施约束建议按“部署与兼容、安全与审计、性能与可用性、实施与切换、验收与交接”五类组织。</w:t>
      </w:r>
    </w:p>
    <w:p>
      <w:pPr>
        <w:keepLines/>
        <w:spacing w:before="0" w:after="0"/>
        <w:jc w:val="center"/>
      </w:pPr>
      <w:r>
        <w:rPr>
          <w:rFonts w:ascii="宋体" w:hAnsi="宋体" w:eastAsia="宋体" w:cs="宋体"/>
          <w:sz w:val="28"/>
          <w:szCs w:val="28"/>
        </w:rPr>
        <w:drawing>
          <wp:inline xmlns:a="http://schemas.openxmlformats.org/drawingml/2006/main" xmlns:pic="http://schemas.openxmlformats.org/drawingml/2006/picture">
            <wp:extent cx="5533437" cy="7772400"/>
            <wp:docPr id="1" name="Picture 1"/>
            <wp:cNvGraphicFramePr>
              <a:graphicFrameLocks noChangeAspect="1"/>
            </wp:cNvGraphicFramePr>
            <a:graphic>
              <a:graphicData uri="http://schemas.openxmlformats.org/drawingml/2006/picture">
                <pic:pic>
                  <pic:nvPicPr>
                    <pic:cNvPr id="0" name="mermaid_1.png"/>
                    <pic:cNvPicPr/>
                  </pic:nvPicPr>
                  <pic:blipFill>
                    <a:blip r:embed="rId9"/>
                    <a:stretch>
                      <a:fillRect/>
                    </a:stretch>
                  </pic:blipFill>
                  <pic:spPr>
                    <a:xfrm>
                      <a:off x="0" y="0"/>
                      <a:ext cx="5533437" cy="7772400"/>
                    </a:xfrm>
                    <a:prstGeom prst="rect"/>
                  </pic:spPr>
                </pic:pic>
              </a:graphicData>
            </a:graphic>
          </wp:inline>
        </w:drawing>
      </w:r>
    </w:p>
    <w:p>
      <w:pPr>
        <w:pStyle w:val="Heading3"/>
        <w:keepNext/>
        <w:jc w:val="left"/>
      </w:pPr>
      <w:r>
        <w:rPr>
          <w:rFonts w:ascii="宋体" w:hAnsi="宋体" w:eastAsia="宋体" w:cs="宋体"/>
          <w:b/>
          <w:sz w:val="32"/>
          <w:szCs w:val="32"/>
        </w:rPr>
        <w:t>4.1 基线分类</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3600"/>
        <w:gridCol w:w="3600"/>
      </w:tblGrid>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类别</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范围</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一期关注点</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部署与兼容</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私有化部署、信创数据库、国产操作系统、浏览器和多端适配</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保证环境可落地、后续可迁移</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安全与审计</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统一身份、权限、敏感数据控制、日志、导出留痕、备份恢复</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满足集团统一治理和审计要求</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性能与可用性</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响应时间、接口时效、可用性、任务稳定性、监控告警</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满足日常业务高峰和月末关键场景</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实施与切换</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数据治理、初始化、联调、并行运行、切换和回退</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降低上线和替换旧系统风险</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验收与交接</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功能、接口、数据、AI、报表、文档、培训、售后</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避免项目“验完即失控”</w:t>
            </w:r>
          </w:p>
        </w:tc>
      </w:tr>
    </w:tbl>
    <w:p>
      <w:pPr>
        <w:pStyle w:val="Heading2"/>
        <w:keepNext/>
        <w:jc w:val="left"/>
      </w:pPr>
      <w:r>
        <w:rPr>
          <w:rFonts w:ascii="宋体" w:hAnsi="宋体" w:eastAsia="宋体" w:cs="宋体"/>
          <w:b/>
          <w:sz w:val="28"/>
          <w:szCs w:val="28"/>
        </w:rPr>
        <w:t>五、部署、兼容与安全基线</w:t>
      </w:r>
    </w:p>
    <w:p>
      <w:pPr>
        <w:pStyle w:val="Heading3"/>
        <w:keepNext/>
        <w:jc w:val="left"/>
      </w:pPr>
      <w:r>
        <w:rPr>
          <w:rFonts w:ascii="宋体" w:hAnsi="宋体" w:eastAsia="宋体" w:cs="宋体"/>
          <w:b/>
          <w:sz w:val="32"/>
          <w:szCs w:val="32"/>
        </w:rPr>
        <w:t>5.1 部署与信创要求</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0"/>
        <w:gridCol w:w="5400"/>
      </w:tblGrid>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项目</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基线要求</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部署方式</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私有化部署，部署在招标方指定数据中心或机房，不接受纯 SaaS 公有云形态</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数据库</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采用 PostgreSQL 兼容国产信创数据库，独立部署，不与集团平台共库</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操作系统</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至少支持一类国产 Linux 环境</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中间件</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支持国产中间件或可控开源中间件</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浏览器</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兼容主流国产浏览器和常用办公浏览器</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终端形态</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PC 端为主，移动端至少覆盖领料申请、审批、库存查询、扫码等高频场景</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集成标准</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正式对外接口采用 API + JSON，优先 HTTPS</w:t>
            </w:r>
          </w:p>
        </w:tc>
      </w:tr>
    </w:tbl>
    <w:p>
      <w:pPr>
        <w:pStyle w:val="Heading3"/>
        <w:keepNext/>
        <w:jc w:val="left"/>
      </w:pPr>
      <w:r>
        <w:rPr>
          <w:rFonts w:ascii="宋体" w:hAnsi="宋体" w:eastAsia="宋体" w:cs="宋体"/>
          <w:b/>
          <w:sz w:val="32"/>
          <w:szCs w:val="32"/>
        </w:rPr>
        <w:t>5.2 安全与可控要求</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0"/>
        <w:gridCol w:w="5400"/>
      </w:tblGrid>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项目</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基线要求</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身份与权限</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接入统一身份体系，至少实现 SSO，权限与数据范围受控</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敏感数据</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价格、合同金额、付款金额等按角色控制可见性，必要时脱敏展示</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导出控制</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按角色、岗位、组织控制导出权限，敏感导出单独留痕</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文件追踪</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重要导出文件支持水印、导出日志或等效追踪机制</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高风险动作</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补录、反结、接口重推、大范围导出、规则停用等动作必须可审计</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关键依赖</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不引入无法审计、无法持续运维或无法在私有化环境受控运行的关键依赖</w:t>
            </w:r>
          </w:p>
        </w:tc>
      </w:tr>
    </w:tbl>
    <w:p>
      <w:pPr>
        <w:pStyle w:val="Heading3"/>
        <w:keepNext/>
        <w:jc w:val="left"/>
      </w:pPr>
      <w:r>
        <w:rPr>
          <w:rFonts w:ascii="宋体" w:hAnsi="宋体" w:eastAsia="宋体" w:cs="宋体"/>
          <w:b/>
          <w:sz w:val="32"/>
          <w:szCs w:val="32"/>
        </w:rPr>
        <w:t>5.3 备份、恢复与运维可控</w:t>
      </w:r>
    </w:p>
    <w:p>
      <w:r>
        <w:rPr>
          <w:rFonts w:ascii="宋体" w:hAnsi="宋体" w:eastAsia="宋体" w:cs="宋体"/>
          <w:sz w:val="28"/>
          <w:szCs w:val="28"/>
        </w:rPr>
        <w:t>一期至少应具备以下运维控制能力：</w:t>
      </w:r>
    </w:p>
    <w:p>
      <w:r>
        <w:rPr>
          <w:rFonts w:ascii="宋体" w:hAnsi="宋体" w:eastAsia="宋体" w:cs="宋体"/>
          <w:sz w:val="28"/>
          <w:szCs w:val="28"/>
        </w:rPr>
        <w:t>- 应具备数据库备份与恢复能力，并纳入运维交接范围。</w:t>
      </w:r>
    </w:p>
    <w:p>
      <w:r>
        <w:rPr>
          <w:rFonts w:ascii="宋体" w:hAnsi="宋体" w:eastAsia="宋体" w:cs="宋体"/>
          <w:sz w:val="28"/>
          <w:szCs w:val="28"/>
        </w:rPr>
        <w:t>- 应具备操作日志、接口日志、异常日志和运行日志的统一留痕能力。</w:t>
      </w:r>
    </w:p>
    <w:p>
      <w:r>
        <w:rPr>
          <w:rFonts w:ascii="宋体" w:hAnsi="宋体" w:eastAsia="宋体" w:cs="宋体"/>
          <w:sz w:val="28"/>
          <w:szCs w:val="28"/>
        </w:rPr>
        <w:t>- 应具备监控、告警、巡检和故障处置的基础机制。</w:t>
      </w:r>
    </w:p>
    <w:p>
      <w:r>
        <w:rPr>
          <w:rFonts w:ascii="宋体" w:hAnsi="宋体" w:eastAsia="宋体" w:cs="宋体"/>
          <w:sz w:val="28"/>
          <w:szCs w:val="28"/>
        </w:rPr>
        <w:t>- 应具备补丁管理、版本升级、性能优化和问题追踪的基本流程。</w:t>
      </w:r>
    </w:p>
    <w:p>
      <w:r>
        <w:rPr>
          <w:rFonts w:ascii="宋体" w:hAnsi="宋体" w:eastAsia="宋体" w:cs="宋体"/>
          <w:sz w:val="28"/>
          <w:szCs w:val="28"/>
        </w:rPr>
        <w:t>- 具体备份频率、恢复点目标、监控工具选型和告警阈值在详细设计和环境准备阶段确定。</w:t>
      </w:r>
    </w:p>
    <w:p>
      <w:pPr>
        <w:pStyle w:val="Heading2"/>
        <w:keepNext/>
        <w:jc w:val="left"/>
      </w:pPr>
      <w:r>
        <w:rPr>
          <w:rFonts w:ascii="宋体" w:hAnsi="宋体" w:eastAsia="宋体" w:cs="宋体"/>
          <w:b/>
          <w:sz w:val="28"/>
          <w:szCs w:val="28"/>
        </w:rPr>
        <w:t>六、性能、可用性与运行约束</w:t>
      </w:r>
    </w:p>
    <w:p>
      <w:pPr>
        <w:pStyle w:val="Heading3"/>
        <w:keepNext/>
        <w:jc w:val="left"/>
      </w:pPr>
      <w:r>
        <w:rPr>
          <w:rFonts w:ascii="宋体" w:hAnsi="宋体" w:eastAsia="宋体" w:cs="宋体"/>
          <w:b/>
          <w:sz w:val="32"/>
          <w:szCs w:val="32"/>
        </w:rPr>
        <w:t>6.1 一期性能基线</w:t>
      </w:r>
    </w:p>
    <w:p>
      <w:r>
        <w:rPr>
          <w:rFonts w:ascii="宋体" w:hAnsi="宋体" w:eastAsia="宋体" w:cs="宋体"/>
          <w:sz w:val="28"/>
          <w:szCs w:val="28"/>
        </w:rPr>
        <w:t>正式口径以招标正文第十章为基准，概要设计阶段先固化以下非功能指标。</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0"/>
        <w:gridCol w:w="5400"/>
      </w:tblGrid>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指标</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一期基线</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并发用户数</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不低于 200 人，详细容量按实际组织规模复核</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单据操作响应时间</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小于等于 3 秒</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报表查询响应时间</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小于等于 5 秒</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接口推送时效</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准实时场景下小于等于 30 秒</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系统可用性</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不低于 99.5%</w:t>
            </w:r>
          </w:p>
        </w:tc>
      </w:tr>
    </w:tbl>
    <w:p>
      <w:pPr>
        <w:pStyle w:val="Heading3"/>
        <w:keepNext/>
        <w:jc w:val="left"/>
      </w:pPr>
      <w:r>
        <w:rPr>
          <w:rFonts w:ascii="宋体" w:hAnsi="宋体" w:eastAsia="宋体" w:cs="宋体"/>
          <w:b/>
          <w:sz w:val="32"/>
          <w:szCs w:val="32"/>
        </w:rPr>
        <w:t>6.2 运行稳定性要求</w:t>
      </w:r>
    </w:p>
    <w:p>
      <w:r>
        <w:rPr>
          <w:rFonts w:ascii="宋体" w:hAnsi="宋体" w:eastAsia="宋体" w:cs="宋体"/>
          <w:sz w:val="28"/>
          <w:szCs w:val="28"/>
        </w:rPr>
        <w:t>- 核心业务和接口任务应支持失败重试、人工补偿和异常追踪。</w:t>
      </w:r>
    </w:p>
    <w:p>
      <w:r>
        <w:rPr>
          <w:rFonts w:ascii="宋体" w:hAnsi="宋体" w:eastAsia="宋体" w:cs="宋体"/>
          <w:sz w:val="28"/>
          <w:szCs w:val="28"/>
        </w:rPr>
        <w:t>- 月末暂估、冲销、对账和结账场景应作为性能与稳定性重点验证对象。</w:t>
      </w:r>
    </w:p>
    <w:p>
      <w:r>
        <w:rPr>
          <w:rFonts w:ascii="宋体" w:hAnsi="宋体" w:eastAsia="宋体" w:cs="宋体"/>
          <w:sz w:val="28"/>
          <w:szCs w:val="28"/>
        </w:rPr>
        <w:t>- 报表、预警和 AI 查询不得绕过统一权限和日志机制换取性能。</w:t>
      </w:r>
    </w:p>
    <w:p>
      <w:r>
        <w:rPr>
          <w:rFonts w:ascii="宋体" w:hAnsi="宋体" w:eastAsia="宋体" w:cs="宋体"/>
          <w:sz w:val="28"/>
          <w:szCs w:val="28"/>
        </w:rPr>
        <w:t>- 高峰期应优先保障单据处理、接口回执和关键查询稳定，复杂统计和大范围导出可采取分页、异步或限流策略。</w:t>
      </w:r>
    </w:p>
    <w:p>
      <w:pPr>
        <w:pStyle w:val="Heading3"/>
        <w:keepNext/>
        <w:jc w:val="left"/>
      </w:pPr>
      <w:r>
        <w:rPr>
          <w:rFonts w:ascii="宋体" w:hAnsi="宋体" w:eastAsia="宋体" w:cs="宋体"/>
          <w:b/>
          <w:sz w:val="32"/>
          <w:szCs w:val="32"/>
        </w:rPr>
        <w:t>6.3 详细设计待补项</w:t>
      </w:r>
    </w:p>
    <w:p>
      <w:r>
        <w:rPr>
          <w:rFonts w:ascii="宋体" w:hAnsi="宋体" w:eastAsia="宋体" w:cs="宋体"/>
          <w:sz w:val="28"/>
          <w:szCs w:val="28"/>
        </w:rPr>
        <w:t>以下内容在概要设计阶段不写死，但在详细设计前必须明确：</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0"/>
        <w:gridCol w:w="5400"/>
      </w:tblGrid>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内容</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建议处理时点</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服务器和数据库资源 sizing</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环境准备阶段</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接口任务并发和队列策略</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详细设计阶段</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报表缓存与统计刷新策略</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详细设计阶段</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备份频率、恢复演练节奏</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运维方案阶段</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监控指标、告警阈值和告警渠道</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运维方案阶段</w:t>
            </w:r>
          </w:p>
        </w:tc>
      </w:tr>
    </w:tbl>
    <w:p>
      <w:pPr>
        <w:pStyle w:val="Heading2"/>
        <w:keepNext/>
        <w:jc w:val="left"/>
      </w:pPr>
      <w:r>
        <w:rPr>
          <w:rFonts w:ascii="宋体" w:hAnsi="宋体" w:eastAsia="宋体" w:cs="宋体"/>
          <w:b/>
          <w:sz w:val="28"/>
          <w:szCs w:val="28"/>
        </w:rPr>
        <w:t>七、数据初始化、迁移与并行运行约束</w:t>
      </w:r>
    </w:p>
    <w:p>
      <w:pPr>
        <w:pStyle w:val="Heading3"/>
        <w:keepNext/>
        <w:jc w:val="left"/>
      </w:pPr>
      <w:r>
        <w:rPr>
          <w:rFonts w:ascii="宋体" w:hAnsi="宋体" w:eastAsia="宋体" w:cs="宋体"/>
          <w:b/>
          <w:sz w:val="32"/>
          <w:szCs w:val="32"/>
        </w:rPr>
        <w:t>7.1 历史数据治理边界</w:t>
      </w:r>
    </w:p>
    <w:p>
      <w:r>
        <w:rPr>
          <w:rFonts w:ascii="宋体" w:hAnsi="宋体" w:eastAsia="宋体" w:cs="宋体"/>
          <w:sz w:val="28"/>
          <w:szCs w:val="28"/>
        </w:rPr>
        <w:t>上线前必须将历史数据治理视为正式工作包，而不是实施过程中的顺带动作。</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0"/>
        <w:gridCol w:w="5400"/>
      </w:tblGrid>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对象</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治理重点</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物料主数据</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重复编码清理、分类补齐、单位统一、停用口径统一</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NC 映射</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若 NC 已落地，校验物料与 NC 存货映射、组织与核算组织映射、成本中心映射完整性；若 NC 未落地，先校验映射字段、状态、配置入口和接口启停控制</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仓储数据</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仓库、库区、货位和组织归属关系整理</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供应商与合同</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关键供应商、合同基础信息和履约关联对象清理</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期初库存</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账面数量、批次、单位、金额；若 NC 已落地并启用财务接口，还应校验与 NC 对账一致性</w:t>
            </w:r>
          </w:p>
        </w:tc>
      </w:tr>
    </w:tbl>
    <w:p>
      <w:pPr>
        <w:pStyle w:val="Heading3"/>
        <w:keepNext/>
        <w:jc w:val="left"/>
      </w:pPr>
      <w:r>
        <w:rPr>
          <w:rFonts w:ascii="宋体" w:hAnsi="宋体" w:eastAsia="宋体" w:cs="宋体"/>
          <w:b/>
          <w:sz w:val="32"/>
          <w:szCs w:val="32"/>
        </w:rPr>
        <w:t>7.2 初始化导入要求</w:t>
      </w:r>
    </w:p>
    <w:p>
      <w:r>
        <w:rPr>
          <w:rFonts w:ascii="宋体" w:hAnsi="宋体" w:eastAsia="宋体" w:cs="宋体"/>
          <w:sz w:val="28"/>
          <w:szCs w:val="28"/>
        </w:rPr>
        <w:t>- 上线前应完成主数据、已落地映射关系和期初库存的初始化导入；若 NC 未落地，则先完成 NC 映射配置模型和状态控制准备。</w:t>
      </w:r>
    </w:p>
    <w:p>
      <w:r>
        <w:rPr>
          <w:rFonts w:ascii="宋体" w:hAnsi="宋体" w:eastAsia="宋体" w:cs="宋体"/>
          <w:sz w:val="28"/>
          <w:szCs w:val="28"/>
        </w:rPr>
        <w:t>- 导入必须有模板、校验规则、导入日志和失败明细，不接受不可追溯的人工散改。</w:t>
      </w:r>
    </w:p>
    <w:p>
      <w:r>
        <w:rPr>
          <w:rFonts w:ascii="宋体" w:hAnsi="宋体" w:eastAsia="宋体" w:cs="宋体"/>
          <w:sz w:val="28"/>
          <w:szCs w:val="28"/>
        </w:rPr>
        <w:t>- 映射完整性校验必须在正式推送 NC 前完成；若 NC 未落地，正式切换前至少应完成映射字段、状态、配置入口和接口开关校验。</w:t>
      </w:r>
    </w:p>
    <w:p>
      <w:r>
        <w:rPr>
          <w:rFonts w:ascii="宋体" w:hAnsi="宋体" w:eastAsia="宋体" w:cs="宋体"/>
          <w:sz w:val="28"/>
          <w:szCs w:val="28"/>
        </w:rPr>
        <w:t>- 导入后的结果必须经过抽样核对和关键对象全量校验。</w:t>
      </w:r>
    </w:p>
    <w:p>
      <w:pPr>
        <w:pStyle w:val="Heading3"/>
        <w:keepNext/>
        <w:jc w:val="left"/>
      </w:pPr>
      <w:r>
        <w:rPr>
          <w:rFonts w:ascii="宋体" w:hAnsi="宋体" w:eastAsia="宋体" w:cs="宋体"/>
          <w:b/>
          <w:sz w:val="32"/>
          <w:szCs w:val="32"/>
        </w:rPr>
        <w:t>7.3 并行运行与比对要求</w:t>
      </w:r>
    </w:p>
    <w:p>
      <w:r>
        <w:rPr>
          <w:rFonts w:ascii="宋体" w:hAnsi="宋体" w:eastAsia="宋体" w:cs="宋体"/>
          <w:sz w:val="28"/>
          <w:szCs w:val="28"/>
        </w:rPr>
        <w:t>一期应保留新旧系统并行运行安排，至少覆盖关键业务和关键数据对象；退出条件以 `docs/需求梳理/13-并行运行退出条件表-V1.0.md` 为准。</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3600"/>
        <w:gridCol w:w="3600"/>
      </w:tblGrid>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比对对象</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比对重点</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建议节奏</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主数据</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编码、分类、单位、映射完整性</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上线前集中比对</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库存数据</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库存余额、批次、收发存结果</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日核对/周核对</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接口数据</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凭证推送、回执状态、暂估和冲销结果</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日核对</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报表结果</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库存、收发存、盘点、呆滞、预支付等关键报表口径</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周核对</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扩展链路</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计划、招投标、合同、付款、设备租赁和 AI 接入结果</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扩展批试运行期间专项核对</w:t>
            </w:r>
          </w:p>
        </w:tc>
      </w:tr>
    </w:tbl>
    <w:p>
      <w:pPr>
        <w:pStyle w:val="Heading3"/>
        <w:keepNext/>
        <w:jc w:val="left"/>
      </w:pPr>
      <w:r>
        <w:rPr>
          <w:rFonts w:ascii="宋体" w:hAnsi="宋体" w:eastAsia="宋体" w:cs="宋体"/>
          <w:b/>
          <w:sz w:val="32"/>
          <w:szCs w:val="32"/>
        </w:rPr>
        <w:t>7.4 迁移与并行运行原则</w:t>
      </w:r>
    </w:p>
    <w:p>
      <w:r>
        <w:rPr>
          <w:rFonts w:ascii="宋体" w:hAnsi="宋体" w:eastAsia="宋体" w:cs="宋体"/>
          <w:sz w:val="28"/>
          <w:szCs w:val="28"/>
        </w:rPr>
        <w:t>- 真实单据必须在试运行阶段跑通主要业务闭环，不能只做静态演示。</w:t>
      </w:r>
    </w:p>
    <w:p>
      <w:r>
        <w:rPr>
          <w:rFonts w:ascii="宋体" w:hAnsi="宋体" w:eastAsia="宋体" w:cs="宋体"/>
          <w:sz w:val="28"/>
          <w:szCs w:val="28"/>
        </w:rPr>
        <w:t>- 并行运行期间的差异、整改和确认结论必须形成记录，作为上线决策依据。</w:t>
      </w:r>
    </w:p>
    <w:p>
      <w:r>
        <w:rPr>
          <w:rFonts w:ascii="宋体" w:hAnsi="宋体" w:eastAsia="宋体" w:cs="宋体"/>
          <w:sz w:val="28"/>
          <w:szCs w:val="28"/>
        </w:rPr>
        <w:t>- 未完成关键映射和关键数据比对前，不应进入全量正式切换。</w:t>
      </w:r>
    </w:p>
    <w:p>
      <w:r>
        <w:rPr>
          <w:rFonts w:ascii="宋体" w:hAnsi="宋体" w:eastAsia="宋体" w:cs="宋体"/>
          <w:sz w:val="28"/>
          <w:szCs w:val="28"/>
        </w:rPr>
        <w:t>- 数据问题必须优先在正式上线前解决，不把结构性脏数据带入生产运行。</w:t>
      </w:r>
    </w:p>
    <w:p>
      <w:pPr>
        <w:pStyle w:val="Heading2"/>
        <w:keepNext/>
        <w:jc w:val="left"/>
      </w:pPr>
      <w:r>
        <w:rPr>
          <w:rFonts w:ascii="宋体" w:hAnsi="宋体" w:eastAsia="宋体" w:cs="宋体"/>
          <w:b/>
          <w:sz w:val="28"/>
          <w:szCs w:val="28"/>
        </w:rPr>
        <w:t>八、实施组织与分批交付约束</w:t>
      </w:r>
    </w:p>
    <w:p>
      <w:pPr>
        <w:pStyle w:val="Heading3"/>
        <w:keepNext/>
        <w:jc w:val="left"/>
      </w:pPr>
      <w:r>
        <w:rPr>
          <w:rFonts w:ascii="宋体" w:hAnsi="宋体" w:eastAsia="宋体" w:cs="宋体"/>
          <w:b/>
          <w:sz w:val="32"/>
          <w:szCs w:val="32"/>
        </w:rPr>
        <w:t>8.1 实施组织要求</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0"/>
        <w:gridCol w:w="5400"/>
      </w:tblGrid>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角色</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主要职责</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网信办/信息化</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统筹项目推进、环境协调、接口协调、实施管理、阶段门组织</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物资业务部门</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确认主数据、流程、单据、试运行范围和业务验收口径</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财务部门</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确认 NC 映射、财务口径、接口联调、对账和数据验收</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各矿物资部门/仓库</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提供基层业务口径、试运行支撑、差异核对和上线反馈</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供应商/实施方</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负责系统建设、实施配置、开发、联调、培训、上线支持和交付文档</w:t>
            </w:r>
          </w:p>
        </w:tc>
      </w:tr>
    </w:tbl>
    <w:p>
      <w:pPr>
        <w:pStyle w:val="Heading3"/>
        <w:keepNext/>
        <w:jc w:val="left"/>
      </w:pPr>
      <w:r>
        <w:rPr>
          <w:rFonts w:ascii="宋体" w:hAnsi="宋体" w:eastAsia="宋体" w:cs="宋体"/>
          <w:b/>
          <w:sz w:val="32"/>
          <w:szCs w:val="32"/>
        </w:rPr>
        <w:t>8.2 分批交付约束</w:t>
      </w:r>
    </w:p>
    <w:p>
      <w:r>
        <w:rPr>
          <w:rFonts w:ascii="宋体" w:hAnsi="宋体" w:eastAsia="宋体" w:cs="宋体"/>
          <w:sz w:val="28"/>
          <w:szCs w:val="28"/>
        </w:rPr>
        <w:t>一期实施可采用“核心批 + 扩展批”策略，但应遵守以下约束：</w:t>
      </w:r>
    </w:p>
    <w:p>
      <w:r>
        <w:rPr>
          <w:rFonts w:ascii="宋体" w:hAnsi="宋体" w:eastAsia="宋体" w:cs="宋体"/>
          <w:sz w:val="28"/>
          <w:szCs w:val="28"/>
        </w:rPr>
        <w:t>- 招标范围不分批，仍按一期整体范围进行报价和交付承诺。</w:t>
      </w:r>
    </w:p>
    <w:p>
      <w:r>
        <w:rPr>
          <w:rFonts w:ascii="宋体" w:hAnsi="宋体" w:eastAsia="宋体" w:cs="宋体"/>
          <w:sz w:val="28"/>
          <w:szCs w:val="28"/>
        </w:rPr>
        <w:t>- 数据模型不分批，深化设计阶段应一次性完成一期数据模型和接口模型设计。</w:t>
      </w:r>
    </w:p>
    <w:p>
      <w:r>
        <w:rPr>
          <w:rFonts w:ascii="宋体" w:hAnsi="宋体" w:eastAsia="宋体" w:cs="宋体"/>
          <w:sz w:val="28"/>
          <w:szCs w:val="28"/>
        </w:rPr>
        <w:t>- 核心批优先保障“主数据 -&gt; 库存业务 -&gt; NC 接口 -&gt; 基础报表预警 -&gt; 系统管理”闭环稳定。</w:t>
      </w:r>
    </w:p>
    <w:p>
      <w:r>
        <w:rPr>
          <w:rFonts w:ascii="宋体" w:hAnsi="宋体" w:eastAsia="宋体" w:cs="宋体"/>
          <w:sz w:val="28"/>
          <w:szCs w:val="28"/>
        </w:rPr>
        <w:t>- 扩展批在核心批稳定基础上推进采购计划、招投标、合同、资金计划、供应商、设备租赁、AI 接入增强等能力。</w:t>
      </w:r>
    </w:p>
    <w:p>
      <w:r>
        <w:rPr>
          <w:rFonts w:ascii="宋体" w:hAnsi="宋体" w:eastAsia="宋体" w:cs="宋体"/>
          <w:sz w:val="28"/>
          <w:szCs w:val="28"/>
        </w:rPr>
        <w:t>- 扩展批上线前提是核心批已稳定运行且无重大未闭环风险。</w:t>
      </w:r>
    </w:p>
    <w:p>
      <w:pPr>
        <w:pStyle w:val="Heading3"/>
        <w:keepNext/>
        <w:jc w:val="left"/>
      </w:pPr>
      <w:r>
        <w:rPr>
          <w:rFonts w:ascii="宋体" w:hAnsi="宋体" w:eastAsia="宋体" w:cs="宋体"/>
          <w:b/>
          <w:sz w:val="32"/>
          <w:szCs w:val="32"/>
        </w:rPr>
        <w:t>8.3 实施阶段输出物</w:t>
      </w:r>
    </w:p>
    <w:p>
      <w:r>
        <w:rPr>
          <w:rFonts w:ascii="宋体" w:hAnsi="宋体" w:eastAsia="宋体" w:cs="宋体"/>
          <w:sz w:val="28"/>
          <w:szCs w:val="28"/>
        </w:rPr>
        <w:t>实施阶段至少应形成以下成果：</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0"/>
        <w:gridCol w:w="5400"/>
      </w:tblGrid>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阶段</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关键输出物</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深化设计与准备</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实施方案、详细需求/原型说明、接口设计说明、权限与流程配置方案、数据初始化方案、培训计划</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核心批实施</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已实施系统环境、核心批测试记录、NC 联调记录、初始化数据台账、问题整改记录</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扩展批实施</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扩展批测试记录、AI 联调与 Tool 注册记录、跨模块联动测试记录、问题整改记录</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试运行与上线</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并行运行比对记录、试运行日报/周报、上线切换方案、回退预案、护航支持记录</w:t>
            </w:r>
          </w:p>
        </w:tc>
      </w:tr>
    </w:tbl>
    <w:p>
      <w:r>
        <w:rPr>
          <w:rFonts w:ascii="宋体" w:hAnsi="宋体" w:eastAsia="宋体" w:cs="宋体"/>
          <w:sz w:val="28"/>
          <w:szCs w:val="28"/>
        </w:rPr>
        <w:t>深化设计成果须经招标方确认后，方可进入正式开发、配置和联调阶段。</w:t>
      </w:r>
    </w:p>
    <w:p>
      <w:pPr>
        <w:pStyle w:val="Heading2"/>
        <w:keepNext/>
        <w:jc w:val="left"/>
      </w:pPr>
      <w:r>
        <w:rPr>
          <w:rFonts w:ascii="宋体" w:hAnsi="宋体" w:eastAsia="宋体" w:cs="宋体"/>
          <w:b/>
          <w:sz w:val="28"/>
          <w:szCs w:val="28"/>
        </w:rPr>
        <w:t>九、试运行、切换与回退约束</w:t>
      </w:r>
    </w:p>
    <w:p>
      <w:pPr>
        <w:pStyle w:val="Heading3"/>
        <w:keepNext/>
        <w:jc w:val="left"/>
      </w:pPr>
      <w:r>
        <w:rPr>
          <w:rFonts w:ascii="宋体" w:hAnsi="宋体" w:eastAsia="宋体" w:cs="宋体"/>
          <w:b/>
          <w:sz w:val="32"/>
          <w:szCs w:val="32"/>
        </w:rPr>
        <w:t>9.1 试运行进入条件</w:t>
      </w:r>
    </w:p>
    <w:p>
      <w:r>
        <w:rPr>
          <w:rFonts w:ascii="宋体" w:hAnsi="宋体" w:eastAsia="宋体" w:cs="宋体"/>
          <w:sz w:val="28"/>
          <w:szCs w:val="28"/>
        </w:rPr>
        <w:t>进入试运行前，至少应确认：</w:t>
      </w:r>
    </w:p>
    <w:p>
      <w:r>
        <w:rPr>
          <w:rFonts w:ascii="宋体" w:hAnsi="宋体" w:eastAsia="宋体" w:cs="宋体"/>
          <w:sz w:val="28"/>
          <w:szCs w:val="28"/>
        </w:rPr>
        <w:t>- 关键模块已实施完成并完成基础测试。</w:t>
      </w:r>
    </w:p>
    <w:p>
      <w:r>
        <w:rPr>
          <w:rFonts w:ascii="宋体" w:hAnsi="宋体" w:eastAsia="宋体" w:cs="宋体"/>
          <w:sz w:val="28"/>
          <w:szCs w:val="28"/>
        </w:rPr>
        <w:t>- 主数据和已落地映射已完成基础导入和校验；若 NC 未落地，则 NC 映射配置模型和接口启停边界已完成校验。</w:t>
      </w:r>
    </w:p>
    <w:p>
      <w:r>
        <w:rPr>
          <w:rFonts w:ascii="宋体" w:hAnsi="宋体" w:eastAsia="宋体" w:cs="宋体"/>
          <w:sz w:val="28"/>
          <w:szCs w:val="28"/>
        </w:rPr>
        <w:t>- 已具备条件的 NC 接口、统一权限和必要外部对接已完成基本联调；暂未落地的 NC 场景应明确人工替代路径和后续补联调计划。</w:t>
      </w:r>
    </w:p>
    <w:p>
      <w:r>
        <w:rPr>
          <w:rFonts w:ascii="宋体" w:hAnsi="宋体" w:eastAsia="宋体" w:cs="宋体"/>
          <w:sz w:val="28"/>
          <w:szCs w:val="28"/>
        </w:rPr>
        <w:t>- 核心问题已有分级和整改计划，不存在阻断性缺陷。</w:t>
      </w:r>
    </w:p>
    <w:p>
      <w:pPr>
        <w:pStyle w:val="Heading3"/>
        <w:keepNext/>
        <w:jc w:val="left"/>
      </w:pPr>
      <w:r>
        <w:rPr>
          <w:rFonts w:ascii="宋体" w:hAnsi="宋体" w:eastAsia="宋体" w:cs="宋体"/>
          <w:b/>
          <w:sz w:val="32"/>
          <w:szCs w:val="32"/>
        </w:rPr>
        <w:t>9.2 正式切换要求</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0"/>
        <w:gridCol w:w="5400"/>
      </w:tblGrid>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项目</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切换要求</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上线窗口</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事先确认上线窗口和切换步骤，不做临时性随意切换</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数据准备</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完成主数据和期初数据最终导入，并保留导入记录</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接口切换</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统一安排已落地接口的切换时点、校验方式和回执确认方式；NC 未落地场景应明确接口开关关闭、人工替代路径和后续补联调计划</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培训支持</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至少完成两轮培训（上线前 + 上线后），并保留培训签到和材料</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护航周期</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至少覆盖首周、首月以及招标要求的 3 个月运行保障期</w:t>
            </w:r>
          </w:p>
        </w:tc>
      </w:tr>
    </w:tbl>
    <w:p>
      <w:pPr>
        <w:pStyle w:val="Heading3"/>
        <w:keepNext/>
        <w:jc w:val="left"/>
      </w:pPr>
      <w:r>
        <w:rPr>
          <w:rFonts w:ascii="宋体" w:hAnsi="宋体" w:eastAsia="宋体" w:cs="宋体"/>
          <w:b/>
          <w:sz w:val="32"/>
          <w:szCs w:val="32"/>
        </w:rPr>
        <w:t>9.3 回退约束</w:t>
      </w:r>
    </w:p>
    <w:p>
      <w:r>
        <w:rPr>
          <w:rFonts w:ascii="宋体" w:hAnsi="宋体" w:eastAsia="宋体" w:cs="宋体"/>
          <w:sz w:val="28"/>
          <w:szCs w:val="28"/>
        </w:rPr>
        <w:t>回退不是失败预设，而是正式切换前必须明确的受控预案。</w:t>
      </w:r>
    </w:p>
    <w:p>
      <w:r>
        <w:rPr>
          <w:rFonts w:ascii="宋体" w:hAnsi="宋体" w:eastAsia="宋体" w:cs="宋体"/>
          <w:sz w:val="28"/>
          <w:szCs w:val="28"/>
        </w:rPr>
        <w:t>回退方案至少应明确：</w:t>
      </w:r>
    </w:p>
    <w:p>
      <w:r>
        <w:rPr>
          <w:rFonts w:ascii="宋体" w:hAnsi="宋体" w:eastAsia="宋体" w:cs="宋体"/>
          <w:sz w:val="28"/>
          <w:szCs w:val="28"/>
        </w:rPr>
        <w:t>- 回退触发条件，如核心业务阻断、关键数据严重偏差、接口不可恢复异常等。</w:t>
      </w:r>
    </w:p>
    <w:p>
      <w:r>
        <w:rPr>
          <w:rFonts w:ascii="宋体" w:hAnsi="宋体" w:eastAsia="宋体" w:cs="宋体"/>
          <w:sz w:val="28"/>
          <w:szCs w:val="28"/>
        </w:rPr>
        <w:t>- 回退决策权统一归项目领导小组，由项目领导小组审议触发条件、最低决策门槛和审批机制；网信办、业务、财务负责按既定路径执行，不得在领导小组授权外自行启动或终止回退。</w:t>
      </w:r>
    </w:p>
    <w:p>
      <w:r>
        <w:rPr>
          <w:rFonts w:ascii="宋体" w:hAnsi="宋体" w:eastAsia="宋体" w:cs="宋体"/>
          <w:sz w:val="28"/>
          <w:szCs w:val="28"/>
        </w:rPr>
        <w:t>- 数据回退、接口回退、业务通知和用户操作冻结的具体步骤。</w:t>
      </w:r>
    </w:p>
    <w:p>
      <w:r>
        <w:rPr>
          <w:rFonts w:ascii="宋体" w:hAnsi="宋体" w:eastAsia="宋体" w:cs="宋体"/>
          <w:sz w:val="28"/>
          <w:szCs w:val="28"/>
        </w:rPr>
        <w:t>- 回退后差异数据补录和重新切换的处理路径。</w:t>
      </w:r>
    </w:p>
    <w:p>
      <w:pPr>
        <w:pStyle w:val="Heading2"/>
        <w:keepNext/>
        <w:jc w:val="left"/>
      </w:pPr>
      <w:r>
        <w:rPr>
          <w:rFonts w:ascii="宋体" w:hAnsi="宋体" w:eastAsia="宋体" w:cs="宋体"/>
          <w:b/>
          <w:sz w:val="28"/>
          <w:szCs w:val="28"/>
        </w:rPr>
        <w:t>十、验收、交接与售后约束</w:t>
      </w:r>
    </w:p>
    <w:p>
      <w:pPr>
        <w:pStyle w:val="Heading3"/>
        <w:keepNext/>
        <w:jc w:val="left"/>
      </w:pPr>
      <w:r>
        <w:rPr>
          <w:rFonts w:ascii="宋体" w:hAnsi="宋体" w:eastAsia="宋体" w:cs="宋体"/>
          <w:b/>
          <w:sz w:val="32"/>
          <w:szCs w:val="32"/>
        </w:rPr>
        <w:t>10.1 验收范围</w:t>
      </w:r>
    </w:p>
    <w:p>
      <w:r>
        <w:rPr>
          <w:rFonts w:ascii="宋体" w:hAnsi="宋体" w:eastAsia="宋体" w:cs="宋体"/>
          <w:sz w:val="28"/>
          <w:szCs w:val="28"/>
        </w:rPr>
        <w:t>概要设计阶段建议将验收对象按六类组织。</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0"/>
        <w:gridCol w:w="5400"/>
      </w:tblGrid>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验收类别</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主要内容</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功能验收</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十五大模块核心功能、核心流程、审批执行和关键业务闭环</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接口验收</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已落地 NC 接口、异常处理、重推、月末暂估/冲销、招采平台协同边界；NC 未落地场景验收配置模型、接口开关、人工替代路径和后续补联调计划</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数据验收</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主数据导入、映射校验、期初库存对账、并行运行差异可追溯；NC 未落地时重点验收配置模型、状态控制和接口启停边界</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报表与 AI 验收</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报表清单、预警触发、数据口径、8 类 AI 能力接入、Tool 注册验证</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文档与培训验收</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用户手册、管理手册、接口文档、培训材料、数据字典、培训记录</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运维交接验收</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日志、监控、备份恢复、问题分级响应、升级和巡检交接</w:t>
            </w:r>
          </w:p>
        </w:tc>
      </w:tr>
    </w:tbl>
    <w:p>
      <w:pPr>
        <w:pStyle w:val="Heading3"/>
        <w:keepNext/>
        <w:jc w:val="left"/>
      </w:pPr>
      <w:r>
        <w:rPr>
          <w:rFonts w:ascii="宋体" w:hAnsi="宋体" w:eastAsia="宋体" w:cs="宋体"/>
          <w:b/>
          <w:sz w:val="32"/>
          <w:szCs w:val="32"/>
        </w:rPr>
        <w:t>10.2 必交付文档清单</w:t>
      </w:r>
    </w:p>
    <w:p>
      <w:r>
        <w:rPr>
          <w:rFonts w:ascii="宋体" w:hAnsi="宋体" w:eastAsia="宋体" w:cs="宋体"/>
          <w:sz w:val="28"/>
          <w:szCs w:val="28"/>
        </w:rPr>
        <w:t>系统验收前，至少应交付以下文档：</w:t>
      </w:r>
    </w:p>
    <w:p>
      <w:r>
        <w:rPr>
          <w:rFonts w:ascii="宋体" w:hAnsi="宋体" w:eastAsia="宋体" w:cs="宋体"/>
          <w:sz w:val="28"/>
          <w:szCs w:val="28"/>
        </w:rPr>
        <w:t>- 用户手册/操作指南</w:t>
      </w:r>
    </w:p>
    <w:p>
      <w:r>
        <w:rPr>
          <w:rFonts w:ascii="宋体" w:hAnsi="宋体" w:eastAsia="宋体" w:cs="宋体"/>
          <w:sz w:val="28"/>
          <w:szCs w:val="28"/>
        </w:rPr>
        <w:t>- 系统管理手册</w:t>
      </w:r>
    </w:p>
    <w:p>
      <w:r>
        <w:rPr>
          <w:rFonts w:ascii="宋体" w:hAnsi="宋体" w:eastAsia="宋体" w:cs="宋体"/>
          <w:sz w:val="28"/>
          <w:szCs w:val="28"/>
        </w:rPr>
        <w:t>- 接口文档</w:t>
      </w:r>
    </w:p>
    <w:p>
      <w:r>
        <w:rPr>
          <w:rFonts w:ascii="宋体" w:hAnsi="宋体" w:eastAsia="宋体" w:cs="宋体"/>
          <w:sz w:val="28"/>
          <w:szCs w:val="28"/>
        </w:rPr>
        <w:t>- 培训材料</w:t>
      </w:r>
    </w:p>
    <w:p>
      <w:r>
        <w:rPr>
          <w:rFonts w:ascii="宋体" w:hAnsi="宋体" w:eastAsia="宋体" w:cs="宋体"/>
          <w:sz w:val="28"/>
          <w:szCs w:val="28"/>
        </w:rPr>
        <w:t>- 数据字典</w:t>
      </w:r>
    </w:p>
    <w:p>
      <w:r>
        <w:rPr>
          <w:rFonts w:ascii="宋体" w:hAnsi="宋体" w:eastAsia="宋体" w:cs="宋体"/>
          <w:sz w:val="28"/>
          <w:szCs w:val="28"/>
        </w:rPr>
        <w:t>- 测试记录与联调记录</w:t>
      </w:r>
    </w:p>
    <w:p>
      <w:r>
        <w:rPr>
          <w:rFonts w:ascii="宋体" w:hAnsi="宋体" w:eastAsia="宋体" w:cs="宋体"/>
          <w:sz w:val="28"/>
          <w:szCs w:val="28"/>
        </w:rPr>
        <w:t>- 数据初始化和迁移记录</w:t>
      </w:r>
    </w:p>
    <w:p>
      <w:r>
        <w:rPr>
          <w:rFonts w:ascii="宋体" w:hAnsi="宋体" w:eastAsia="宋体" w:cs="宋体"/>
          <w:sz w:val="28"/>
          <w:szCs w:val="28"/>
        </w:rPr>
        <w:t>- 上线切换方案与回退预案</w:t>
      </w:r>
    </w:p>
    <w:p>
      <w:r>
        <w:rPr>
          <w:rFonts w:ascii="宋体" w:hAnsi="宋体" w:eastAsia="宋体" w:cs="宋体"/>
          <w:sz w:val="28"/>
          <w:szCs w:val="28"/>
        </w:rPr>
        <w:t>- 运行保障和问题处理记录</w:t>
      </w:r>
    </w:p>
    <w:p>
      <w:pPr>
        <w:pStyle w:val="Heading3"/>
        <w:keepNext/>
        <w:jc w:val="left"/>
      </w:pPr>
      <w:r>
        <w:rPr>
          <w:rFonts w:ascii="宋体" w:hAnsi="宋体" w:eastAsia="宋体" w:cs="宋体"/>
          <w:b/>
          <w:sz w:val="32"/>
          <w:szCs w:val="32"/>
        </w:rPr>
        <w:t>10.3 售后与运维交接基线</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0"/>
        <w:gridCol w:w="5400"/>
      </w:tblGrid>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项目</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基线要求</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质保期</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验收合格后不少于 1 年免费质保</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上线支持</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上线首月驻场支持</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运行保障</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上线后至少 3 个月运行保障期</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响应机制</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紧急、严重、一般、建议问题应有分级响应和解决时限</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巡检维护</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原则上每季度至少一次巡检，并纳入记录</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升级策略</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明确后续版本升级、补丁管理和配合方式</w:t>
            </w:r>
          </w:p>
        </w:tc>
      </w:tr>
    </w:tbl>
    <w:p>
      <w:pPr>
        <w:pStyle w:val="Heading3"/>
        <w:keepNext/>
        <w:jc w:val="left"/>
      </w:pPr>
      <w:r>
        <w:rPr>
          <w:rFonts w:ascii="宋体" w:hAnsi="宋体" w:eastAsia="宋体" w:cs="宋体"/>
          <w:b/>
          <w:sz w:val="32"/>
          <w:szCs w:val="32"/>
        </w:rPr>
        <w:t>10.4 问题分级响应基线</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3600"/>
        <w:gridCol w:w="3600"/>
      </w:tblGrid>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问题级别</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响应时间</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解决时间</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紧急（系统不可用）</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30 分钟</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4 小时</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严重（核心功能异常）</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2 小时</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8 小时</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一般（非核心功能异常）</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4 小时</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2 个工作日</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建议（优化类）</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1 个工作日</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协商确定</w:t>
            </w:r>
          </w:p>
        </w:tc>
      </w:tr>
    </w:tbl>
    <w:p>
      <w:pPr>
        <w:pStyle w:val="Heading2"/>
        <w:keepNext/>
        <w:jc w:val="left"/>
      </w:pPr>
      <w:r>
        <w:rPr>
          <w:rFonts w:ascii="宋体" w:hAnsi="宋体" w:eastAsia="宋体" w:cs="宋体"/>
          <w:b/>
          <w:sz w:val="28"/>
          <w:szCs w:val="28"/>
        </w:rPr>
        <w:t>十一、后续详细设计输入</w:t>
      </w:r>
    </w:p>
    <w:p>
      <w:r>
        <w:rPr>
          <w:rFonts w:ascii="宋体" w:hAnsi="宋体" w:eastAsia="宋体" w:cs="宋体"/>
          <w:sz w:val="28"/>
          <w:szCs w:val="28"/>
        </w:rPr>
        <w:t>非功能与实施约束概要设计完成后，详细设计和实施准备阶段应继续细化以下内容：</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0"/>
        <w:gridCol w:w="5400"/>
      </w:tblGrid>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内容</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说明</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环境与资源清单</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明确服务器、数据库、中间件、网络和存储资源配置</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部署实施方案</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明确拓扑、安装步骤、发布流程、环境隔离和切换方案</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监控与巡检方案</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明确监控指标、告警规则、巡检清单和故障升级流程</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备份恢复方案</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明确备份频率、恢复流程、演练节奏和责任分工</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数据迁移方案</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明确模板、校验规则、导入步骤、回滚和复核机制</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阶段门清单</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明确试运行、上线、验收各阶段门的进入与退出条件</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培训与交接方案</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明确培训对象、轮次、教材、签到和考核方式</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验收用例库</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覆盖功能、接口、数据、报表、AI、日志、回退和运维交接场景</w:t>
            </w:r>
          </w:p>
        </w:tc>
      </w:tr>
    </w:tbl>
    <w:p>
      <w:pPr>
        <w:pStyle w:val="Heading2"/>
        <w:keepNext/>
        <w:jc w:val="left"/>
      </w:pPr>
      <w:r>
        <w:rPr>
          <w:rFonts w:ascii="宋体" w:hAnsi="宋体" w:eastAsia="宋体" w:cs="宋体"/>
          <w:b/>
          <w:sz w:val="28"/>
          <w:szCs w:val="28"/>
        </w:rPr>
        <w:t>十二、一句话结论</w:t>
      </w:r>
    </w:p>
    <w:p>
      <w:r>
        <w:rPr>
          <w:rFonts w:ascii="宋体" w:hAnsi="宋体" w:eastAsia="宋体" w:cs="宋体"/>
          <w:sz w:val="28"/>
          <w:szCs w:val="28"/>
        </w:rPr>
        <w:t>非功能与实施约束设计的核心不是补几条性能或售后指标，而是提前把“能不能稳、怎么迁、怎么切、怎么验、谁来接”这些真正决定项目成败的边界先锁住。后续详细设计应先把环境、迁移、阶段门、回退和交接方案落细，再推进全面实施。</w:t>
      </w:r>
    </w:p>
    <w:sectPr w:rsidR="00FC693F" w:rsidRPr="0006063C" w:rsidSect="00034616">
      <w:headerReference w:type="default" r:id="rId10"/>
      <w:headerReference w:type="first" r:id="rId11"/>
      <w:headerReference w:type="even" r:id="rId12"/>
      <w:footerReference w:type="default" r:id="rId13"/>
      <w:footerReference w:type="first" r:id="rId14"/>
      <w:footerReference w:type="even" r:id="rId1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rP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rP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cs="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s="宋体"/>
    </w:rPr>
  </w:style>
  <w:style w:type="character" w:customStyle="1" w:styleId="HeaderChar">
    <w:name w:val="Header Char"/>
    <w:basedOn w:val="DefaultParagraphFont"/>
    <w:link w:val="Header"/>
    <w:uiPriority w:val="99"/>
    <w:rsid w:val="00E618BF"/>
    <w:rPr>
      <w:rFonts w:ascii="宋体" w:hAnsi="宋体" w:eastAsia="宋体" w:cs="宋体"/>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s="宋体"/>
    </w:rPr>
  </w:style>
  <w:style w:type="character" w:customStyle="1" w:styleId="FooterChar">
    <w:name w:val="Footer Char"/>
    <w:basedOn w:val="DefaultParagraphFont"/>
    <w:link w:val="Footer"/>
    <w:uiPriority w:val="99"/>
    <w:rsid w:val="00E618BF"/>
    <w:rPr>
      <w:rFonts w:ascii="宋体" w:hAnsi="宋体" w:eastAsia="宋体" w:cs="宋体"/>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cs="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cs="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cs="宋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eastAsia="宋体" w:cs="宋体"/>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eastAsia="宋体" w:cs="宋体"/>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eastAsia="宋体" w:cs="宋体"/>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宋体" w:hAnsi="宋体" w:eastAsia="宋体" w:cs="宋体"/>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宋体" w:hAnsi="宋体" w:eastAsia="宋体" w:cs="宋体"/>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宋体" w:hAnsi="宋体" w:eastAsia="宋体" w:cs="宋体"/>
      <w:i/>
      <w:iCs/>
      <w:color w:val="404040" w:themeColor="text1" w:themeTint="BF"/>
      <w:sz w:val="20"/>
      <w:szCs w:val="20"/>
    </w:rPr>
  </w:style>
  <w:style w:type="character" w:default="1" w:styleId="DefaultParagraphFont">
    <w:name w:val="Default Paragraph Font"/>
    <w:uiPriority w:val="1"/>
    <w:semiHidden/>
    <w:unhideWhenUsed/>
    <w:rPr>
      <w:rFonts w:ascii="宋体" w:hAnsi="宋体" w:eastAsia="宋体" w:cs="宋体"/>
    </w:r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宋体" w:hAnsi="宋体" w:eastAsia="宋体" w:cs="宋体"/>
    </w:rPr>
  </w:style>
  <w:style w:type="numbering" w:default="1" w:styleId="NoList">
    <w:name w:val="No List"/>
    <w:uiPriority w:val="99"/>
    <w:semiHidden/>
    <w:unhideWhenUsed/>
    <w:rPr>
      <w:rFonts w:ascii="宋体" w:hAnsi="宋体" w:eastAsia="宋体" w:cs="宋体"/>
    </w:rPr>
  </w:style>
  <w:style w:type="paragraph" w:styleId="NoSpacing">
    <w:name w:val="No Spacing"/>
    <w:uiPriority w:val="1"/>
    <w:qFormat/>
    <w:rsid w:val="00FC693F"/>
    <w:pPr>
      <w:spacing w:after="0" w:line="240" w:lineRule="auto"/>
    </w:pPr>
    <w:rPr>
      <w:rFonts w:ascii="宋体" w:hAnsi="宋体" w:eastAsia="宋体" w:cs="宋体"/>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宋体" w:hAnsi="宋体" w:eastAsia="宋体" w:cs="宋体"/>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宋体" w:hAnsi="宋体" w:eastAsia="宋体" w:cs="宋体"/>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宋体" w:hAnsi="宋体" w:eastAsia="宋体" w:cs="宋体"/>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s="宋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宋体" w:hAnsi="宋体" w:eastAsia="宋体" w:cs="宋体"/>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宋体" w:hAnsi="宋体" w:eastAsia="宋体" w:cs="宋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宋体" w:hAnsi="宋体" w:eastAsia="宋体" w:cs="宋体"/>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宋体" w:hAnsi="宋体" w:eastAsia="宋体" w:cs="宋体"/>
    </w:rPr>
  </w:style>
  <w:style w:type="paragraph" w:styleId="BodyText">
    <w:name w:val="Body Text"/>
    <w:basedOn w:val="Normal"/>
    <w:link w:val="BodyTextChar"/>
    <w:uiPriority w:val="99"/>
    <w:unhideWhenUsed/>
    <w:rsid w:val="00AA1D8D"/>
    <w:pPr>
      <w:spacing w:after="120"/>
    </w:pPr>
    <w:rPr>
      <w:rFonts w:ascii="宋体" w:hAnsi="宋体" w:eastAsia="宋体" w:cs="宋体"/>
    </w:rPr>
  </w:style>
  <w:style w:type="character" w:customStyle="1" w:styleId="BodyTextChar">
    <w:name w:val="Body Text Char"/>
    <w:basedOn w:val="DefaultParagraphFont"/>
    <w:link w:val="BodyText"/>
    <w:uiPriority w:val="99"/>
    <w:rsid w:val="00AA1D8D"/>
    <w:rPr>
      <w:rFonts w:ascii="宋体" w:hAnsi="宋体" w:eastAsia="宋体" w:cs="宋体"/>
    </w:rPr>
  </w:style>
  <w:style w:type="paragraph" w:styleId="BodyText2">
    <w:name w:val="Body Text 2"/>
    <w:basedOn w:val="Normal"/>
    <w:link w:val="BodyText2Char"/>
    <w:uiPriority w:val="99"/>
    <w:unhideWhenUsed/>
    <w:rsid w:val="00AA1D8D"/>
    <w:pPr>
      <w:spacing w:after="120" w:line="480" w:lineRule="auto"/>
    </w:pPr>
    <w:rPr>
      <w:rFonts w:ascii="宋体" w:hAnsi="宋体" w:eastAsia="宋体" w:cs="宋体"/>
    </w:rPr>
  </w:style>
  <w:style w:type="character" w:customStyle="1" w:styleId="BodyText2Char">
    <w:name w:val="Body Text 2 Char"/>
    <w:basedOn w:val="DefaultParagraphFont"/>
    <w:link w:val="BodyText2"/>
    <w:uiPriority w:val="99"/>
    <w:rsid w:val="00AA1D8D"/>
    <w:rPr>
      <w:rFonts w:ascii="宋体" w:hAnsi="宋体" w:eastAsia="宋体" w:cs="宋体"/>
    </w:rPr>
  </w:style>
  <w:style w:type="paragraph" w:styleId="BodyText3">
    <w:name w:val="Body Text 3"/>
    <w:basedOn w:val="Normal"/>
    <w:link w:val="BodyText3Char"/>
    <w:uiPriority w:val="99"/>
    <w:unhideWhenUsed/>
    <w:rsid w:val="00AA1D8D"/>
    <w:pPr>
      <w:spacing w:after="120"/>
    </w:pPr>
    <w:rPr>
      <w:rFonts w:ascii="宋体" w:hAnsi="宋体" w:eastAsia="宋体" w:cs="宋体"/>
      <w:sz w:val="16"/>
      <w:szCs w:val="16"/>
    </w:rPr>
  </w:style>
  <w:style w:type="character" w:customStyle="1" w:styleId="BodyText3Char">
    <w:name w:val="Body Text 3 Char"/>
    <w:basedOn w:val="DefaultParagraphFont"/>
    <w:link w:val="BodyText3"/>
    <w:uiPriority w:val="99"/>
    <w:rsid w:val="00AA1D8D"/>
    <w:rPr>
      <w:rFonts w:ascii="宋体" w:hAnsi="宋体" w:eastAsia="宋体" w:cs="宋体"/>
      <w:sz w:val="16"/>
      <w:szCs w:val="16"/>
    </w:rPr>
  </w:style>
  <w:style w:type="paragraph" w:styleId="List">
    <w:name w:val="List"/>
    <w:basedOn w:val="Normal"/>
    <w:uiPriority w:val="99"/>
    <w:unhideWhenUsed/>
    <w:rsid w:val="00AA1D8D"/>
    <w:pPr>
      <w:ind w:left="360" w:hanging="360"/>
      <w:contextualSpacing/>
    </w:pPr>
    <w:rPr>
      <w:rFonts w:ascii="宋体" w:hAnsi="宋体" w:eastAsia="宋体" w:cs="宋体"/>
    </w:rPr>
  </w:style>
  <w:style w:type="paragraph" w:styleId="List2">
    <w:name w:val="List 2"/>
    <w:basedOn w:val="Normal"/>
    <w:uiPriority w:val="99"/>
    <w:unhideWhenUsed/>
    <w:rsid w:val="00326F90"/>
    <w:pPr>
      <w:ind w:left="720" w:hanging="360"/>
      <w:contextualSpacing/>
    </w:pPr>
    <w:rPr>
      <w:rFonts w:ascii="宋体" w:hAnsi="宋体" w:eastAsia="宋体" w:cs="宋体"/>
    </w:rPr>
  </w:style>
  <w:style w:type="paragraph" w:styleId="List3">
    <w:name w:val="List 3"/>
    <w:basedOn w:val="Normal"/>
    <w:uiPriority w:val="99"/>
    <w:unhideWhenUsed/>
    <w:rsid w:val="00326F90"/>
    <w:pPr>
      <w:ind w:left="1080" w:hanging="360"/>
      <w:contextualSpacing/>
    </w:pPr>
    <w:rPr>
      <w:rFonts w:ascii="宋体" w:hAnsi="宋体" w:eastAsia="宋体" w:cs="宋体"/>
    </w:rPr>
  </w:style>
  <w:style w:type="paragraph" w:styleId="ListBullet">
    <w:name w:val="List Bullet"/>
    <w:basedOn w:val="Normal"/>
    <w:uiPriority w:val="99"/>
    <w:unhideWhenUsed/>
    <w:rsid w:val="00326F90"/>
    <w:pPr>
      <w:numPr>
        <w:numId w:val="1"/>
      </w:numPr>
      <w:contextualSpacing/>
    </w:pPr>
    <w:rPr>
      <w:rFonts w:ascii="宋体" w:hAnsi="宋体" w:eastAsia="宋体" w:cs="宋体"/>
    </w:rPr>
  </w:style>
  <w:style w:type="paragraph" w:styleId="ListBullet2">
    <w:name w:val="List Bullet 2"/>
    <w:basedOn w:val="Normal"/>
    <w:uiPriority w:val="99"/>
    <w:unhideWhenUsed/>
    <w:rsid w:val="00326F90"/>
    <w:pPr>
      <w:numPr>
        <w:numId w:val="2"/>
      </w:numPr>
      <w:contextualSpacing/>
    </w:pPr>
    <w:rPr>
      <w:rFonts w:ascii="宋体" w:hAnsi="宋体" w:eastAsia="宋体" w:cs="宋体"/>
    </w:rPr>
  </w:style>
  <w:style w:type="paragraph" w:styleId="ListBullet3">
    <w:name w:val="List Bullet 3"/>
    <w:basedOn w:val="Normal"/>
    <w:uiPriority w:val="99"/>
    <w:unhideWhenUsed/>
    <w:rsid w:val="00326F90"/>
    <w:pPr>
      <w:numPr>
        <w:numId w:val="3"/>
      </w:numPr>
      <w:contextualSpacing/>
    </w:pPr>
    <w:rPr>
      <w:rFonts w:ascii="宋体" w:hAnsi="宋体" w:eastAsia="宋体" w:cs="宋体"/>
    </w:rPr>
  </w:style>
  <w:style w:type="paragraph" w:styleId="ListNumber">
    <w:name w:val="List Number"/>
    <w:basedOn w:val="Normal"/>
    <w:uiPriority w:val="99"/>
    <w:unhideWhenUsed/>
    <w:rsid w:val="00326F90"/>
    <w:pPr>
      <w:numPr>
        <w:numId w:val="5"/>
      </w:numPr>
      <w:contextualSpacing/>
    </w:pPr>
    <w:rPr>
      <w:rFonts w:ascii="宋体" w:hAnsi="宋体" w:eastAsia="宋体" w:cs="宋体"/>
    </w:rPr>
  </w:style>
  <w:style w:type="paragraph" w:styleId="ListNumber2">
    <w:name w:val="List Number 2"/>
    <w:basedOn w:val="Normal"/>
    <w:uiPriority w:val="99"/>
    <w:unhideWhenUsed/>
    <w:rsid w:val="0029639D"/>
    <w:pPr>
      <w:numPr>
        <w:numId w:val="6"/>
      </w:numPr>
      <w:contextualSpacing/>
    </w:pPr>
    <w:rPr>
      <w:rFonts w:ascii="宋体" w:hAnsi="宋体" w:eastAsia="宋体" w:cs="宋体"/>
    </w:rPr>
  </w:style>
  <w:style w:type="paragraph" w:styleId="ListNumber3">
    <w:name w:val="List Number 3"/>
    <w:basedOn w:val="Normal"/>
    <w:uiPriority w:val="99"/>
    <w:unhideWhenUsed/>
    <w:rsid w:val="0029639D"/>
    <w:pPr>
      <w:numPr>
        <w:numId w:val="7"/>
      </w:numPr>
      <w:contextualSpacing/>
    </w:pPr>
    <w:rPr>
      <w:rFonts w:ascii="宋体" w:hAnsi="宋体" w:eastAsia="宋体" w:cs="宋体"/>
    </w:rPr>
  </w:style>
  <w:style w:type="paragraph" w:styleId="ListContinue">
    <w:name w:val="List Continue"/>
    <w:basedOn w:val="Normal"/>
    <w:uiPriority w:val="99"/>
    <w:unhideWhenUsed/>
    <w:rsid w:val="0029639D"/>
    <w:pPr>
      <w:spacing w:after="120"/>
      <w:ind w:left="360"/>
      <w:contextualSpacing/>
    </w:pPr>
    <w:rPr>
      <w:rFonts w:ascii="宋体" w:hAnsi="宋体" w:eastAsia="宋体" w:cs="宋体"/>
    </w:rPr>
  </w:style>
  <w:style w:type="paragraph" w:styleId="ListContinue2">
    <w:name w:val="List Continue 2"/>
    <w:basedOn w:val="Normal"/>
    <w:uiPriority w:val="99"/>
    <w:unhideWhenUsed/>
    <w:rsid w:val="0029639D"/>
    <w:pPr>
      <w:spacing w:after="120"/>
      <w:ind w:left="720"/>
      <w:contextualSpacing/>
    </w:pPr>
    <w:rPr>
      <w:rFonts w:ascii="宋体" w:hAnsi="宋体" w:eastAsia="宋体" w:cs="宋体"/>
    </w:rPr>
  </w:style>
  <w:style w:type="paragraph" w:styleId="ListContinue3">
    <w:name w:val="List Continue 3"/>
    <w:basedOn w:val="Normal"/>
    <w:uiPriority w:val="99"/>
    <w:unhideWhenUsed/>
    <w:rsid w:val="0029639D"/>
    <w:pPr>
      <w:spacing w:after="120"/>
      <w:ind w:left="1080"/>
      <w:contextualSpacing/>
    </w:pPr>
    <w:rPr>
      <w:rFonts w:ascii="宋体" w:hAnsi="宋体" w:eastAsia="宋体" w:cs="宋体"/>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宋体" w:hAnsi="宋体" w:eastAsia="宋体" w:cs="宋体"/>
      <w:sz w:val="20"/>
      <w:szCs w:val="20"/>
    </w:rPr>
  </w:style>
  <w:style w:type="character" w:customStyle="1" w:styleId="MacroTextChar">
    <w:name w:val="Macro Text Char"/>
    <w:basedOn w:val="DefaultParagraphFont"/>
    <w:link w:val="MacroText"/>
    <w:uiPriority w:val="99"/>
    <w:rsid w:val="0029639D"/>
    <w:rPr>
      <w:rFonts w:ascii="宋体" w:hAnsi="宋体" w:eastAsia="宋体" w:cs="宋体"/>
      <w:sz w:val="20"/>
      <w:szCs w:val="20"/>
    </w:rPr>
  </w:style>
  <w:style w:type="paragraph" w:styleId="Quote">
    <w:name w:val="Quote"/>
    <w:basedOn w:val="Normal"/>
    <w:next w:val="Normal"/>
    <w:link w:val="QuoteChar"/>
    <w:uiPriority w:val="29"/>
    <w:qFormat/>
    <w:rsid w:val="00FC693F"/>
    <w:rPr>
      <w:rFonts w:ascii="宋体" w:hAnsi="宋体" w:eastAsia="宋体" w:cs="宋体"/>
      <w:i/>
      <w:iCs/>
      <w:color w:val="000000" w:themeColor="text1"/>
    </w:rPr>
  </w:style>
  <w:style w:type="character" w:customStyle="1" w:styleId="QuoteChar">
    <w:name w:val="Quote Char"/>
    <w:basedOn w:val="DefaultParagraphFont"/>
    <w:link w:val="Quote"/>
    <w:uiPriority w:val="29"/>
    <w:rsid w:val="00FC693F"/>
    <w:rPr>
      <w:rFonts w:ascii="宋体" w:hAnsi="宋体" w:eastAsia="宋体" w:cs="宋体"/>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宋体" w:hAnsi="宋体" w:eastAsia="宋体" w:cs="宋体"/>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宋体" w:hAnsi="宋体" w:eastAsia="宋体" w:cs="宋体"/>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宋体" w:hAnsi="宋体" w:eastAsia="宋体" w:cs="宋体"/>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宋体" w:hAnsi="宋体" w:eastAsia="宋体" w:cs="宋体"/>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宋体" w:hAnsi="宋体" w:eastAsia="宋体" w:cs="宋体"/>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宋体" w:hAnsi="宋体" w:eastAsia="宋体" w:cs="宋体"/>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宋体" w:hAnsi="宋体" w:eastAsia="宋体" w:cs="宋体"/>
      <w:b/>
      <w:bCs/>
      <w:color w:val="4F81BD" w:themeColor="accent1"/>
      <w:sz w:val="18"/>
      <w:szCs w:val="18"/>
    </w:rPr>
  </w:style>
  <w:style w:type="character" w:styleId="Strong">
    <w:name w:val="Strong"/>
    <w:basedOn w:val="DefaultParagraphFont"/>
    <w:uiPriority w:val="22"/>
    <w:qFormat/>
    <w:rsid w:val="00FC693F"/>
    <w:rPr>
      <w:rFonts w:ascii="宋体" w:hAnsi="宋体" w:eastAsia="宋体" w:cs="宋体"/>
      <w:b/>
      <w:bCs/>
    </w:rPr>
  </w:style>
  <w:style w:type="character" w:styleId="Emphasis">
    <w:name w:val="Emphasis"/>
    <w:basedOn w:val="DefaultParagraphFont"/>
    <w:uiPriority w:val="20"/>
    <w:qFormat/>
    <w:rsid w:val="00FC693F"/>
    <w:rPr>
      <w:rFonts w:ascii="宋体" w:hAnsi="宋体" w:eastAsia="宋体" w:cs="宋体"/>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宋体" w:hAnsi="宋体" w:eastAsia="宋体" w:cs="宋体"/>
      <w:b/>
      <w:bCs/>
      <w:i/>
      <w:iCs/>
      <w:color w:val="4F81BD" w:themeColor="accent1"/>
    </w:rPr>
  </w:style>
  <w:style w:type="character" w:customStyle="1" w:styleId="IntenseQuoteChar">
    <w:name w:val="Intense Quote Char"/>
    <w:basedOn w:val="DefaultParagraphFont"/>
    <w:link w:val="IntenseQuote"/>
    <w:uiPriority w:val="30"/>
    <w:rsid w:val="00FC693F"/>
    <w:rPr>
      <w:rFonts w:ascii="宋体" w:hAnsi="宋体" w:eastAsia="宋体" w:cs="宋体"/>
      <w:b/>
      <w:bCs/>
      <w:i/>
      <w:iCs/>
      <w:color w:val="4F81BD" w:themeColor="accent1"/>
    </w:rPr>
  </w:style>
  <w:style w:type="character" w:styleId="SubtleEmphasis">
    <w:name w:val="Subtle Emphasis"/>
    <w:basedOn w:val="DefaultParagraphFont"/>
    <w:uiPriority w:val="19"/>
    <w:qFormat/>
    <w:rsid w:val="00FC693F"/>
    <w:rPr>
      <w:rFonts w:ascii="宋体" w:hAnsi="宋体" w:eastAsia="宋体" w:cs="宋体"/>
      <w:i/>
      <w:iCs/>
      <w:color w:val="808080" w:themeColor="text1" w:themeTint="7F"/>
    </w:rPr>
  </w:style>
  <w:style w:type="character" w:styleId="IntenseEmphasis">
    <w:name w:val="Intense Emphasis"/>
    <w:basedOn w:val="DefaultParagraphFont"/>
    <w:uiPriority w:val="21"/>
    <w:qFormat/>
    <w:rsid w:val="00FC693F"/>
    <w:rPr>
      <w:rFonts w:ascii="宋体" w:hAnsi="宋体" w:eastAsia="宋体" w:cs="宋体"/>
      <w:b/>
      <w:bCs/>
      <w:i/>
      <w:iCs/>
      <w:color w:val="4F81BD" w:themeColor="accent1"/>
    </w:rPr>
  </w:style>
  <w:style w:type="character" w:styleId="SubtleReference">
    <w:name w:val="Subtle Reference"/>
    <w:basedOn w:val="DefaultParagraphFont"/>
    <w:uiPriority w:val="31"/>
    <w:qFormat/>
    <w:rsid w:val="00FC693F"/>
    <w:rPr>
      <w:rFonts w:ascii="宋体" w:hAnsi="宋体" w:eastAsia="宋体" w:cs="宋体"/>
      <w:smallCaps/>
      <w:color w:val="C0504D" w:themeColor="accent2"/>
      <w:u w:val="single"/>
    </w:rPr>
  </w:style>
  <w:style w:type="character" w:styleId="IntenseReference">
    <w:name w:val="Intense Reference"/>
    <w:basedOn w:val="DefaultParagraphFont"/>
    <w:uiPriority w:val="32"/>
    <w:qFormat/>
    <w:rsid w:val="00FC693F"/>
    <w:rPr>
      <w:rFonts w:ascii="宋体" w:hAnsi="宋体" w:eastAsia="宋体" w:cs="宋体"/>
      <w:b/>
      <w:bCs/>
      <w:smallCaps/>
      <w:color w:val="C0504D" w:themeColor="accent2"/>
      <w:spacing w:val="5"/>
      <w:u w:val="single"/>
    </w:rPr>
  </w:style>
  <w:style w:type="character" w:styleId="BookTitle">
    <w:name w:val="Book Title"/>
    <w:basedOn w:val="DefaultParagraphFont"/>
    <w:uiPriority w:val="33"/>
    <w:qFormat/>
    <w:rsid w:val="00FC693F"/>
    <w:rPr>
      <w:rFonts w:ascii="宋体" w:hAnsi="宋体" w:eastAsia="宋体" w:cs="宋体"/>
      <w:b/>
      <w:bCs/>
      <w:smallCaps/>
      <w:spacing w:val="5"/>
    </w:rPr>
  </w:style>
  <w:style w:type="paragraph" w:styleId="TOCHeading">
    <w:name w:val="TOC Heading"/>
    <w:basedOn w:val="Heading1"/>
    <w:next w:val="Normal"/>
    <w:uiPriority w:val="39"/>
    <w:semiHidden/>
    <w:unhideWhenUsed/>
    <w:qFormat/>
    <w:rsid w:val="00FC693F"/>
    <w:pPr>
      <w:outlineLvl w:val="9"/>
    </w:pPr>
    <w:rPr>
      <w:rFonts w:ascii="宋体" w:hAnsi="宋体" w:eastAsia="宋体" w:cs="宋体"/>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rPr>
      <w:rFonts w:ascii="宋体" w:hAnsi="宋体" w:eastAsia="宋体" w:cs="宋体"/>
    </w:rPr>
  </w:style>
  <w:style w:type="table" w:styleId="LightShading">
    <w:name w:val="Light Shading"/>
    <w:basedOn w:val="TableNormal"/>
    <w:uiPriority w:val="60"/>
    <w:rsid w:val="00FC693F"/>
    <w:pPr>
      <w:spacing w:after="0" w:line="240" w:lineRule="auto"/>
    </w:pPr>
    <w:rPr>
      <w:rFonts w:ascii="宋体" w:hAnsi="宋体" w:eastAsia="宋体" w:cs="宋体"/>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宋体" w:hAnsi="宋体" w:eastAsia="宋体" w:cs="宋体"/>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宋体" w:hAnsi="宋体" w:eastAsia="宋体" w:cs="宋体"/>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宋体" w:hAnsi="宋体" w:eastAsia="宋体" w:cs="宋体"/>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宋体" w:hAnsi="宋体" w:eastAsia="宋体" w:cs="宋体"/>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宋体" w:hAnsi="宋体" w:eastAsia="宋体" w:cs="宋体"/>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宋体" w:hAnsi="宋体" w:eastAsia="宋体" w:cs="宋体"/>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rPr>
      <w:rFonts w:ascii="宋体" w:hAnsi="宋体" w:eastAsia="宋体" w:cs="宋体"/>
    </w:r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rPr>
      <w:rFonts w:ascii="宋体" w:hAnsi="宋体" w:eastAsia="宋体" w:cs="宋体"/>
    </w:r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rPr>
      <w:rFonts w:ascii="宋体" w:hAnsi="宋体" w:eastAsia="宋体" w:cs="宋体"/>
    </w:r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rPr>
      <w:rFonts w:ascii="宋体" w:hAnsi="宋体" w:eastAsia="宋体" w:cs="宋体"/>
    </w:r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rPr>
      <w:rFonts w:ascii="宋体" w:hAnsi="宋体" w:eastAsia="宋体" w:cs="宋体"/>
    </w:r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rPr>
      <w:rFonts w:ascii="宋体" w:hAnsi="宋体" w:eastAsia="宋体" w:cs="宋体"/>
    </w:r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rPr>
      <w:rFonts w:ascii="宋体" w:hAnsi="宋体" w:eastAsia="宋体" w:cs="宋体"/>
    </w:r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rPr>
      <w:rFonts w:ascii="宋体" w:hAnsi="宋体" w:eastAsia="宋体" w:cs="宋体"/>
    </w:r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rPr>
      <w:rFonts w:ascii="宋体" w:hAnsi="宋体" w:eastAsia="宋体" w:cs="宋体"/>
    </w:r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rPr>
      <w:rFonts w:ascii="宋体" w:hAnsi="宋体" w:eastAsia="宋体" w:cs="宋体"/>
    </w:r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rPr>
      <w:rFonts w:ascii="宋体" w:hAnsi="宋体" w:eastAsia="宋体" w:cs="宋体"/>
    </w:r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rPr>
      <w:rFonts w:ascii="宋体" w:hAnsi="宋体" w:eastAsia="宋体" w:cs="宋体"/>
    </w:r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rPr>
      <w:rFonts w:ascii="宋体" w:hAnsi="宋体" w:eastAsia="宋体" w:cs="宋体"/>
    </w:r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rPr>
      <w:rFonts w:ascii="宋体" w:hAnsi="宋体" w:eastAsia="宋体" w:cs="宋体"/>
    </w:r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rPr>
      <w:rFonts w:ascii="宋体" w:hAnsi="宋体" w:eastAsia="宋体" w:cs="宋体"/>
    </w:r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rFonts w:ascii="宋体" w:hAnsi="宋体" w:eastAsia="宋体" w:cs="宋体"/>
    </w:r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rPr>
      <w:rFonts w:ascii="宋体" w:hAnsi="宋体" w:eastAsia="宋体" w:cs="宋体"/>
    </w:r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rFonts w:ascii="宋体" w:hAnsi="宋体" w:eastAsia="宋体" w:cs="宋体"/>
    </w:r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rFonts w:ascii="宋体" w:hAnsi="宋体" w:eastAsia="宋体" w:cs="宋体"/>
    </w:r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rPr>
      <w:rFonts w:ascii="宋体" w:hAnsi="宋体" w:eastAsia="宋体" w:cs="宋体"/>
    </w:r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rPr>
      <w:rFonts w:ascii="宋体" w:hAnsi="宋体" w:eastAsia="宋体" w:cs="宋体"/>
    </w:r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宋体" w:hAnsi="宋体" w:eastAsia="宋体" w:cs="宋体"/>
    </w:r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宋体" w:hAnsi="宋体" w:eastAsia="宋体" w:cs="宋体"/>
    </w:r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宋体" w:hAnsi="宋体" w:eastAsia="宋体" w:cs="宋体"/>
    </w:r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宋体" w:hAnsi="宋体" w:eastAsia="宋体" w:cs="宋体"/>
    </w:r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宋体" w:hAnsi="宋体" w:eastAsia="宋体" w:cs="宋体"/>
    </w:r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宋体" w:hAnsi="宋体" w:eastAsia="宋体" w:cs="宋体"/>
    </w:r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宋体" w:hAnsi="宋体" w:eastAsia="宋体" w:cs="宋体"/>
    </w:rPr>
  </w:style>
  <w:style w:type="table" w:styleId="MediumList1">
    <w:name w:val="Medium List 1"/>
    <w:basedOn w:val="TableNormal"/>
    <w:uiPriority w:val="65"/>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rPr>
      <w:rFonts w:ascii="宋体" w:hAnsi="宋体" w:eastAsia="宋体" w:cs="宋体"/>
    </w:r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rFonts w:ascii="宋体" w:hAnsi="宋体" w:eastAsia="宋体" w:cs="宋体"/>
    </w:r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rFonts w:ascii="宋体" w:hAnsi="宋体" w:eastAsia="宋体" w:cs="宋体"/>
    </w:r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rFonts w:ascii="宋体" w:hAnsi="宋体" w:eastAsia="宋体" w:cs="宋体"/>
    </w:r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rFonts w:ascii="宋体" w:hAnsi="宋体" w:eastAsia="宋体" w:cs="宋体"/>
    </w:r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rFonts w:ascii="宋体" w:hAnsi="宋体" w:eastAsia="宋体" w:cs="宋体"/>
    </w:r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rFonts w:ascii="宋体" w:hAnsi="宋体" w:eastAsia="宋体" w:cs="宋体"/>
    </w:r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rPr>
      <w:rFonts w:ascii="宋体" w:hAnsi="宋体" w:eastAsia="宋体" w:cs="宋体"/>
    </w:r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rPr>
      <w:rFonts w:ascii="宋体" w:hAnsi="宋体" w:eastAsia="宋体" w:cs="宋体"/>
    </w:r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rPr>
      <w:rFonts w:ascii="宋体" w:hAnsi="宋体" w:eastAsia="宋体" w:cs="宋体"/>
    </w:r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rPr>
      <w:rFonts w:ascii="宋体" w:hAnsi="宋体" w:eastAsia="宋体" w:cs="宋体"/>
    </w:r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rPr>
      <w:rFonts w:ascii="宋体" w:hAnsi="宋体" w:eastAsia="宋体" w:cs="宋体"/>
    </w:r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rPr>
      <w:rFonts w:ascii="宋体" w:hAnsi="宋体" w:eastAsia="宋体" w:cs="宋体"/>
    </w:r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rPr>
      <w:rFonts w:ascii="宋体" w:hAnsi="宋体" w:eastAsia="宋体" w:cs="宋体"/>
    </w:rPr>
  </w:style>
  <w:style w:type="table" w:styleId="DarkList">
    <w:name w:val="Dark List"/>
    <w:basedOn w:val="TableNormal"/>
    <w:uiPriority w:val="70"/>
    <w:rsid w:val="00CB0664"/>
    <w:pPr>
      <w:spacing w:after="0" w:line="240" w:lineRule="auto"/>
    </w:pPr>
    <w:rPr>
      <w:rFonts w:ascii="宋体" w:hAnsi="宋体" w:eastAsia="宋体" w:cs="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宋体" w:hAnsi="宋体" w:eastAsia="宋体" w:cs="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宋体" w:hAnsi="宋体" w:eastAsia="宋体" w:cs="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宋体" w:hAnsi="宋体" w:eastAsia="宋体" w:cs="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宋体" w:hAnsi="宋体" w:eastAsia="宋体" w:cs="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宋体" w:hAnsi="宋体" w:eastAsia="宋体" w:cs="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宋体" w:hAnsi="宋体" w:eastAsia="宋体" w:cs="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宋体" w:hAnsi="宋体" w:eastAsia="宋体" w:cs="宋体"/>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宋体" w:hAnsi="宋体" w:eastAsia="宋体" w:cs="宋体"/>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宋体" w:hAnsi="宋体" w:eastAsia="宋体" w:cs="宋体"/>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宋体" w:hAnsi="宋体" w:eastAsia="宋体" w:cs="宋体"/>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宋体" w:hAnsi="宋体" w:eastAsia="宋体" w:cs="宋体"/>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宋体" w:hAnsi="宋体" w:eastAsia="宋体" w:cs="宋体"/>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宋体" w:hAnsi="宋体" w:eastAsia="宋体" w:cs="宋体"/>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宋体" w:hAnsi="宋体" w:eastAsia="宋体" w:cs="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宋体" w:hAnsi="宋体" w:eastAsia="宋体" w:cs="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宋体" w:hAnsi="宋体" w:eastAsia="宋体" w:cs="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宋体" w:hAnsi="宋体" w:eastAsia="宋体" w:cs="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宋体" w:hAnsi="宋体" w:eastAsia="宋体" w:cs="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宋体" w:hAnsi="宋体" w:eastAsia="宋体" w:cs="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宋体" w:hAnsi="宋体" w:eastAsia="宋体" w:cs="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