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物资供应管理系统发标准备情况汇报（五页版）</w:t>
      </w:r>
    </w:p>
    <w:p>
      <w:r>
        <w:rPr>
          <w:rFonts w:ascii="宋体" w:hAnsi="宋体" w:eastAsia="宋体" w:cs="宋体"/>
          <w:b/>
          <w:sz w:val="28"/>
          <w:szCs w:val="28"/>
        </w:rPr>
        <w:t>汇报单位：</w:t>
      </w:r>
      <w:r>
        <w:rPr>
          <w:rFonts w:ascii="宋体" w:hAnsi="宋体" w:eastAsia="宋体" w:cs="宋体"/>
          <w:sz w:val="28"/>
          <w:szCs w:val="28"/>
        </w:rPr>
        <w:t xml:space="preserve"> 阜矿集团网信办</w:t>
      </w:r>
    </w:p>
    <w:p>
      <w:r>
        <w:rPr>
          <w:rFonts w:ascii="宋体" w:hAnsi="宋体" w:eastAsia="宋体" w:cs="宋体"/>
          <w:b/>
          <w:sz w:val="28"/>
          <w:szCs w:val="28"/>
        </w:rPr>
        <w:t>汇报日期：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汇报对象：</w:t>
      </w:r>
      <w:r>
        <w:rPr>
          <w:rFonts w:ascii="宋体" w:hAnsi="宋体" w:eastAsia="宋体" w:cs="宋体"/>
          <w:sz w:val="28"/>
          <w:szCs w:val="28"/>
        </w:rPr>
        <w:t xml:space="preserve"> 集团分管领导 / 信息化领导小组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发标前管理层汇报稿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第 1 页 项目背景与建设目标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1.1 项目背景</w:t>
      </w:r>
    </w:p>
    <w:p>
      <w:r>
        <w:rPr>
          <w:rFonts w:ascii="宋体" w:hAnsi="宋体" w:eastAsia="宋体" w:cs="宋体"/>
          <w:sz w:val="28"/>
          <w:szCs w:val="28"/>
        </w:rPr>
        <w:t>阜矿集团作为辽宁能源集团下属二级集团，下辖多个煤矿、洗煤厂及辅助单位，物资品类涵盖火工品、支护材料、备品备件、机电材料、油脂燃料等十余个大类。当前物资供应业务存在以下问题：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系统分散</w:t>
      </w:r>
      <w:r>
        <w:rPr>
          <w:rFonts w:ascii="宋体" w:hAnsi="宋体" w:eastAsia="宋体" w:cs="宋体"/>
          <w:sz w:val="28"/>
          <w:szCs w:val="28"/>
        </w:rPr>
        <w:t>：物资相关管理分布在若干独立工具中，主数据口径不一，业务数据难以串联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线下流转多</w:t>
      </w:r>
      <w:r>
        <w:rPr>
          <w:rFonts w:ascii="宋体" w:hAnsi="宋体" w:eastAsia="宋体" w:cs="宋体"/>
          <w:sz w:val="28"/>
          <w:szCs w:val="28"/>
        </w:rPr>
        <w:t>：审批与业务流转线上化程度不足，效率有待提升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与财务协同不紧</w:t>
      </w:r>
      <w:r>
        <w:rPr>
          <w:rFonts w:ascii="宋体" w:hAnsi="宋体" w:eastAsia="宋体" w:cs="宋体"/>
          <w:sz w:val="28"/>
          <w:szCs w:val="28"/>
        </w:rPr>
        <w:t>：与 NC 财务系统缺乏稳定、实时、可追溯的接口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集团统筹不足</w:t>
      </w:r>
      <w:r>
        <w:rPr>
          <w:rFonts w:ascii="宋体" w:hAnsi="宋体" w:eastAsia="宋体" w:cs="宋体"/>
          <w:sz w:val="28"/>
          <w:szCs w:val="28"/>
        </w:rPr>
        <w:t>：信创适配、统一集成、AI 赋能等集团要求难以落地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1.2 建设目标</w:t>
      </w:r>
    </w:p>
    <w:p>
      <w:r>
        <w:rPr>
          <w:rFonts w:ascii="宋体" w:hAnsi="宋体" w:eastAsia="宋体" w:cs="宋体"/>
          <w:sz w:val="28"/>
          <w:szCs w:val="28"/>
        </w:rPr>
        <w:t>结合集团管理要求和《集团业务系统统一建设原则（V2.0）》，本次建设的核心诉求为：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无纸化审批</w:t>
      </w:r>
      <w:r>
        <w:rPr>
          <w:rFonts w:ascii="宋体" w:hAnsi="宋体" w:eastAsia="宋体" w:cs="宋体"/>
          <w:sz w:val="28"/>
          <w:szCs w:val="28"/>
        </w:rPr>
        <w:t>：全面线上审批、审批留痕、催办提醒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多端协同</w:t>
      </w:r>
      <w:r>
        <w:rPr>
          <w:rFonts w:ascii="宋体" w:hAnsi="宋体" w:eastAsia="宋体" w:cs="宋体"/>
          <w:sz w:val="28"/>
          <w:szCs w:val="28"/>
        </w:rPr>
        <w:t>：PC + 手机 APP/小程序 + PAD 审批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流程优化</w:t>
      </w:r>
      <w:r>
        <w:rPr>
          <w:rFonts w:ascii="宋体" w:hAnsi="宋体" w:eastAsia="宋体" w:cs="宋体"/>
          <w:sz w:val="28"/>
          <w:szCs w:val="28"/>
        </w:rPr>
        <w:t>：需求→计划→招投标→合同→入库→资金计划→财务全链路贯通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数据赋能</w:t>
      </w:r>
      <w:r>
        <w:rPr>
          <w:rFonts w:ascii="宋体" w:hAnsi="宋体" w:eastAsia="宋体" w:cs="宋体"/>
          <w:sz w:val="28"/>
          <w:szCs w:val="28"/>
        </w:rPr>
        <w:t>：库存、采购、消耗、盘点、呆滞、设备状态、租赁执行、资产关联留痕等核心视图</w:t>
      </w:r>
    </w:p>
    <w:p>
      <w:r>
        <w:rPr>
          <w:rFonts w:ascii="宋体" w:hAnsi="宋体" w:eastAsia="宋体" w:cs="宋体"/>
          <w:sz w:val="28"/>
          <w:szCs w:val="28"/>
        </w:rPr>
        <w:t xml:space="preserve">5. </w:t>
      </w:r>
      <w:r>
        <w:rPr>
          <w:rFonts w:ascii="宋体" w:hAnsi="宋体" w:eastAsia="宋体" w:cs="宋体"/>
          <w:b/>
          <w:sz w:val="28"/>
          <w:szCs w:val="28"/>
        </w:rPr>
        <w:t>基层延伸</w:t>
      </w:r>
      <w:r>
        <w:rPr>
          <w:rFonts w:ascii="宋体" w:hAnsi="宋体" w:eastAsia="宋体" w:cs="宋体"/>
          <w:sz w:val="28"/>
          <w:szCs w:val="28"/>
        </w:rPr>
        <w:t>：使用单位、仓库、区队均能直接在系统中操作</w:t>
      </w:r>
    </w:p>
    <w:p>
      <w:r>
        <w:rPr>
          <w:rFonts w:ascii="宋体" w:hAnsi="宋体" w:eastAsia="宋体" w:cs="宋体"/>
          <w:sz w:val="28"/>
          <w:szCs w:val="28"/>
        </w:rPr>
        <w:t xml:space="preserve">6. </w:t>
      </w:r>
      <w:r>
        <w:rPr>
          <w:rFonts w:ascii="宋体" w:hAnsi="宋体" w:eastAsia="宋体" w:cs="宋体"/>
          <w:b/>
          <w:sz w:val="28"/>
          <w:szCs w:val="28"/>
        </w:rPr>
        <w:t>集团合规</w:t>
      </w:r>
      <w:r>
        <w:rPr>
          <w:rFonts w:ascii="宋体" w:hAnsi="宋体" w:eastAsia="宋体" w:cs="宋体"/>
          <w:sz w:val="28"/>
          <w:szCs w:val="28"/>
        </w:rPr>
        <w:t>：统一权限、统一数据、统一接口、统一 AI 入口、统一运维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1.3 项目定位</w:t>
      </w:r>
    </w:p>
    <w:p>
      <w:pPr>
        <w:pStyle w:val="Quote"/>
      </w:pPr>
      <w:r>
        <w:rPr>
          <w:rFonts w:ascii="宋体" w:hAnsi="宋体" w:eastAsia="宋体" w:cs="宋体"/>
          <w:b/>
          <w:sz w:val="28"/>
          <w:szCs w:val="28"/>
        </w:rPr>
        <w:t>以物资流转为主线、强化设备管理并保留资产关联能力、以财务接口为落点、以权限审批和报表预警为支撑的业务平台。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第 2 页 一期建设范围与业务主链路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2.1 一期 15 大模块</w:t>
      </w:r>
    </w:p>
    <w:p>
      <w:r>
        <w:rPr>
          <w:rFonts w:ascii="宋体" w:hAnsi="宋体" w:eastAsia="宋体" w:cs="宋体"/>
          <w:sz w:val="28"/>
          <w:szCs w:val="28"/>
        </w:rPr>
        <w:t>一期建设按"先跑通核心闭环、强化设备管理、设备租赁独立纳入并保留资产关联能力"原则，覆盖如下 15 大模块：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核心内容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基础档案与组织仓库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组织、仓库、单位、供应商、成本中心等基础数据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物料主数据与编码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编码结构、一物一码、NC 映射、辽宁能源扩展预留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需求提报与采购计划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需求汇总→计划审批→任务下达→执行跟踪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四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招投标管理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采购方式分流、招采平台协同、结果归档和回写</w:t>
            </w:r>
            <w:r>
              <w:rPr>
                <w:rFonts w:ascii="宋体" w:hAnsi="宋体" w:eastAsia="宋体" w:cs="宋体"/>
                <w:sz w:val="28"/>
                <w:szCs w:val="28"/>
              </w:rPr>
              <w:t>（一期核心补充项）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五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采购执行与到货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采购订单、到货验收、质检、入库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库存领用与退料调拨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领料、退料、调拨、成本归集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台账、权属分级、跨组织调拨、检修、报废、资产留痕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申请、起租、在租、续租停租退租、费用汇总、付款联动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九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审批会签、付款条款、风险点、变更、台账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资金计划管理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付款计划、月度预支付、付款申请、支付进度、结果回写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十一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准入、分类、考评、黑名单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十二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盘点与处置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盘盈盘亏、废旧认定、处置流程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十三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财务与 NC 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凭证推送、对账、暂估、月结反结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十四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报表预警与查询分析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多维度报表、预警识别、AI 问答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十五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系统管理与基础支撑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权限、审批流、日志、参数、通知、安全、导出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2.2 一期业务主链路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需求提报 → 采购计划 → 招投标/询比价 → 合同/采购执行 → 到货入库</w:t>
      </w:r>
    </w:p>
    <w:p>
      <w:r>
        <w:rPr>
          <w:rFonts w:ascii="宋体" w:hAnsi="宋体" w:eastAsia="宋体" w:cs="宋体"/>
          <w:sz w:val="28"/>
          <w:szCs w:val="28"/>
        </w:rPr>
        <w:t>→ 设备建档与投用/设备租赁执行 → 资金计划管理 → 生命周期管理 → 财务联动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2.3 边界约束</w:t>
      </w:r>
    </w:p>
    <w:p>
      <w:r>
        <w:rPr>
          <w:rFonts w:ascii="宋体" w:hAnsi="宋体" w:eastAsia="宋体" w:cs="宋体"/>
          <w:b/>
          <w:sz w:val="28"/>
          <w:szCs w:val="28"/>
        </w:rPr>
        <w:t>本系统不替代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用友 NC 财务总账（本系统仅作为业务源头，NC 负责价值核算）</w:t>
      </w:r>
    </w:p>
    <w:p>
      <w:r>
        <w:rPr>
          <w:rFonts w:ascii="宋体" w:hAnsi="宋体" w:eastAsia="宋体" w:cs="宋体"/>
          <w:sz w:val="28"/>
          <w:szCs w:val="28"/>
        </w:rPr>
        <w:t>- 能源集团招采平台（一期仅以导出上传/结果导入协同为准，深度直连属二期）</w:t>
      </w:r>
    </w:p>
    <w:p>
      <w:r>
        <w:rPr>
          <w:rFonts w:ascii="宋体" w:hAnsi="宋体" w:eastAsia="宋体" w:cs="宋体"/>
          <w:sz w:val="28"/>
          <w:szCs w:val="28"/>
        </w:rPr>
        <w:t>- 集团 BI 平台（本系统提供数据，集团级汇总分析由 BI 承担）</w:t>
      </w:r>
    </w:p>
    <w:p>
      <w:r>
        <w:rPr>
          <w:rFonts w:ascii="宋体" w:hAnsi="宋体" w:eastAsia="宋体" w:cs="宋体"/>
          <w:b/>
          <w:sz w:val="28"/>
          <w:szCs w:val="28"/>
        </w:rPr>
        <w:t>一期不纳入但预留扩展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集团统一编码体系（预留 `group_mat_code` 字段和映射表）</w:t>
      </w:r>
    </w:p>
    <w:p>
      <w:r>
        <w:rPr>
          <w:rFonts w:ascii="宋体" w:hAnsi="宋体" w:eastAsia="宋体" w:cs="宋体"/>
          <w:sz w:val="28"/>
          <w:szCs w:val="28"/>
        </w:rPr>
        <w:t>- 高级 AI 场景（一期以 8 类基础能力为主）</w:t>
      </w:r>
    </w:p>
    <w:p>
      <w:r>
        <w:rPr>
          <w:rFonts w:ascii="宋体" w:hAnsi="宋体" w:eastAsia="宋体" w:cs="宋体"/>
          <w:b/>
          <w:sz w:val="28"/>
          <w:szCs w:val="28"/>
        </w:rPr>
        <w:t>一期接入但规范中标后提供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集团统一 API 网关（由网信办统筹建设，联调阶段按网信办提供的技术文档完成接入注册与验证）</w:t>
      </w:r>
    </w:p>
    <w:p>
      <w:r>
        <w:rPr>
          <w:rFonts w:ascii="宋体" w:hAnsi="宋体" w:eastAsia="宋体" w:cs="宋体"/>
          <w:sz w:val="28"/>
          <w:szCs w:val="28"/>
        </w:rPr>
        <w:t>- 集团统一 AI 入口（由网信办统筹建设，联调阶段按网信办提供的技术文档完成 Tool 注册与场景测试）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第 3 页 合规对齐与集团统一建设原则 V2.0 落地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五个"统一"全部落地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统一维度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一期落地方式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对应章节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统一身份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对接 Nova Platform SSO 单点登录；组织/人员/数据权限以平台为权威源；本系统仅保留本地副本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8.3、附件三 7 章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统一数据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权威数据源明确：组织人员→平台、会计科目→NC、物料→本系统、供应商/合同/资产→预留对齐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5.6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统一接口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对外采用 API + JSON；集团统一 API 网关由网信办统筹建设，本系统按网信办提供规范完成鉴权/流控/日志/监控接入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7.1/16.5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统一 AI 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必做要求；统一接入网信办 AI 入口，不得另建独立门户；8 类基础能力 + Tool 注册 + 日志审计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11 章、附件五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统一运维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远程 + 现场运维；原则上每季度巡检；统一日志与监控格式与集团运维体系兼容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10.9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信创与国产化合规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数据库</w:t>
      </w:r>
      <w:r>
        <w:rPr>
          <w:rFonts w:ascii="宋体" w:hAnsi="宋体" w:eastAsia="宋体" w:cs="宋体"/>
          <w:sz w:val="28"/>
          <w:szCs w:val="28"/>
        </w:rPr>
        <w:t>：须采用 PostgreSQL 兼容的国产信创数据库（瀚高 HGDB、人大金仓 KingbaseES 等），独立部署，不与集团平台共用实例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服务器</w:t>
      </w:r>
      <w:r>
        <w:rPr>
          <w:rFonts w:ascii="宋体" w:hAnsi="宋体" w:eastAsia="宋体" w:cs="宋体"/>
          <w:sz w:val="28"/>
          <w:szCs w:val="28"/>
        </w:rPr>
        <w:t>：国产服务器优先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部署方式</w:t>
      </w:r>
      <w:r>
        <w:rPr>
          <w:rFonts w:ascii="宋体" w:hAnsi="宋体" w:eastAsia="宋体" w:cs="宋体"/>
          <w:sz w:val="28"/>
          <w:szCs w:val="28"/>
        </w:rPr>
        <w:t>：私有化部署，部署在招标方指定的数据中心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开发语言</w:t>
      </w:r>
      <w:r>
        <w:rPr>
          <w:rFonts w:ascii="宋体" w:hAnsi="宋体" w:eastAsia="宋体" w:cs="宋体"/>
          <w:sz w:val="28"/>
          <w:szCs w:val="28"/>
        </w:rPr>
        <w:t>：不做强制限定；.NET 可直接复用集团平台模块；其他技术栈须通过标准 API 完成全部对接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权威数据源与扩展预留（V2.0 新增对齐）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数据对象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本系统定位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组织架构、人员、SSO 身份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集团统一平台（Nova Platform）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通过平台 API 引用，不重复维护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会计科目、会计期间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通过接口获取，不在本系统自建科目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作为权威源，预留对齐集团未来统一编码的字段、映射关系和接口扩展能力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供应商编码、合同编码、资产编码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本系统维护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集团未来明确权威源后，本系统须具备对齐能力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3.4 与 NC 的协同边界（N:1 映射）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物资系统（物料）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用友 NC（存货）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管理对象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实物，按规格区分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资金，按科目归集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粒度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细（一规格一编码）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粗（同类合并核算）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存货的明细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物料的汇总财务轨迹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核心原则</w:t>
      </w:r>
      <w:r>
        <w:rPr>
          <w:rFonts w:ascii="宋体" w:hAnsi="宋体" w:eastAsia="宋体" w:cs="宋体"/>
          <w:sz w:val="28"/>
          <w:szCs w:val="28"/>
        </w:rPr>
        <w:t>：物资系统主动适配 NC，NC 侧零改造。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3.5 核心业务规则强约束一览</w:t>
      </w:r>
    </w:p>
    <w:p>
      <w:r>
        <w:rPr>
          <w:rFonts w:ascii="宋体" w:hAnsi="宋体" w:eastAsia="宋体" w:cs="宋体"/>
          <w:sz w:val="28"/>
          <w:szCs w:val="28"/>
        </w:rPr>
        <w:t>本项目在调研阶段与物资、招标、合同、安监、财务等业务口确认了若干"强约束"——即供应商实施时必须原样满足、不得协商放宽的业务规则。以下约束已同步写入正文、附件一（功能响应清单）、附件三（角色权限矩阵）、附件六（物料编码规范），供应商需逐项响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约束项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规则内容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落地位置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采购方式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三条路径分流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 / 满足招标条件但走非招标 / 不满足招标条件的公开询比；系统按采购方式差异化配置审批链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§6.1、附件一 4.1、附件三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采购方式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金额阈值审批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非招标金额 &gt; 100 万元触发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集团分管领导签字</w:t>
            </w:r>
            <w:r>
              <w:rPr>
                <w:rFonts w:ascii="宋体" w:hAnsi="宋体" w:eastAsia="宋体" w:cs="宋体"/>
                <w:sz w:val="28"/>
                <w:szCs w:val="28"/>
              </w:rPr>
              <w:t>；合同金额 &gt; 20 万元自动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加签物资公司经理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§6.1 §6.8、附件一 4.2/10.2、附件三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采购方式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安标（MA）审批双轨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招标路径：生产技术部与安监部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分别</w:t>
            </w:r>
            <w:r>
              <w:rPr>
                <w:rFonts w:ascii="宋体" w:hAnsi="宋体" w:eastAsia="宋体" w:cs="宋体"/>
                <w:sz w:val="28"/>
                <w:szCs w:val="28"/>
              </w:rPr>
              <w:t>审批（独立节点）；非招标路径：两者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一同</w:t>
            </w:r>
            <w:r>
              <w:rPr>
                <w:rFonts w:ascii="宋体" w:hAnsi="宋体" w:eastAsia="宋体" w:cs="宋体"/>
                <w:sz w:val="28"/>
                <w:szCs w:val="28"/>
              </w:rPr>
              <w:t>审批（并行合并）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§6.1、附件一 4.3、附件三、附件六 §9.4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采购方式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不足三家处置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不足三家处置单 + 二次/三次公示 + 供应链管理委员会决议留痕；支持调整方式或转非招标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§6.1、附件一 4.4、附件三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采购方式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公开询比公示期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公示期 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5 天</w:t>
            </w:r>
            <w:r>
              <w:rPr>
                <w:rFonts w:ascii="宋体" w:hAnsi="宋体" w:eastAsia="宋体" w:cs="宋体"/>
                <w:sz w:val="28"/>
                <w:szCs w:val="28"/>
              </w:rPr>
              <w:t>；二次公示后 2 家转竞价、1 家转直采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§6.1、附件一 4.5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评标组织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评标专家抽取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默认抽取 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5 名</w:t>
            </w:r>
            <w:r>
              <w:rPr>
                <w:rFonts w:ascii="宋体" w:hAnsi="宋体" w:eastAsia="宋体" w:cs="宋体"/>
                <w:sz w:val="28"/>
                <w:szCs w:val="28"/>
              </w:rPr>
              <w:t>评标专家；系统辅助登记、评标结果登记、中标通知书发布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§6.1、附件一 4.6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30 日签订期限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以中标/成交通知书日期为 T0，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T+15 / T+25 / T+30 分级提醒</w:t>
            </w:r>
            <w:r>
              <w:rPr>
                <w:rFonts w:ascii="宋体" w:hAnsi="宋体" w:eastAsia="宋体" w:cs="宋体"/>
                <w:sz w:val="28"/>
                <w:szCs w:val="28"/>
              </w:rPr>
              <w:t>；超期自动标记风险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§6.8、附件一 10.1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履约保证金跟踪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保证金收取登记、退还触发、与挂账联动；凭合同条款解冻或扣划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§6.8、附件一 10.3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采购到货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设备双验收单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《设备直达到货验收单》触发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挂账</w:t>
            </w:r>
            <w:r>
              <w:rPr>
                <w:rFonts w:ascii="宋体" w:hAnsi="宋体" w:eastAsia="宋体" w:cs="宋体"/>
                <w:sz w:val="28"/>
                <w:szCs w:val="28"/>
              </w:rPr>
              <w:t>、《设备安装调试完好联合验收单》触发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付款</w:t>
            </w:r>
            <w:r>
              <w:rPr>
                <w:rFonts w:ascii="宋体" w:hAnsi="宋体" w:eastAsia="宋体" w:cs="宋体"/>
                <w:sz w:val="28"/>
                <w:szCs w:val="28"/>
              </w:rPr>
              <w:t>；两份单据编号与合同、PO 强关联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§6.2、附件一 5.1/5.2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付款控制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双验收前置校验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付款申请缺少对应验收单据时系统阻断；质量问题按合同条款自动扣款或延付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§6.8-1、附件一 11.1/11.2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安标证书管理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`is_anbiao=Y` 物资须登记 MA 证书编号和有效期；到期前 60 天预警、到期后阻断新增采购申请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附件六 §9.2 §9.4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归类裁决五级优先级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专业管控 → 终端用途 → 主要功能 → 整机/部件 → 物料形态；同一物料跨组织保持同一大类；纠错须"编码废弃 + 新编码"，不直接改动已生效编码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附件六 §5.16 §6.1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以上 12 项为"签批放行发标"的底线要求，投标方如在响应文件中对其中任一项提出偏离，均须在《偏差汇总表》逐项说明并提供替代方案，由评标专家组裁定是否接受。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第 4 页 发标包结构与封版结果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4.1 发标包外发结构（1 正文 + 6 附件）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物资供应管理系统发标包-V1.1/</w:t>
      </w:r>
    </w:p>
    <w:p>
      <w:r>
        <w:rPr>
          <w:rFonts w:ascii="宋体" w:hAnsi="宋体" w:eastAsia="宋体" w:cs="宋体"/>
          <w:sz w:val="28"/>
          <w:szCs w:val="28"/>
        </w:rPr>
        <w:t>├── 01-招标正文/</w:t>
      </w:r>
    </w:p>
    <w:p>
      <w:r>
        <w:rPr>
          <w:rFonts w:ascii="宋体" w:hAnsi="宋体" w:eastAsia="宋体" w:cs="宋体"/>
          <w:sz w:val="28"/>
          <w:szCs w:val="28"/>
        </w:rPr>
        <w:t>│   └── 物资供应管理系统招标技术要求-v1.1.docx/pdf</w:t>
      </w:r>
    </w:p>
    <w:p>
      <w:r>
        <w:rPr>
          <w:rFonts w:ascii="宋体" w:hAnsi="宋体" w:eastAsia="宋体" w:cs="宋体"/>
          <w:sz w:val="28"/>
          <w:szCs w:val="28"/>
        </w:rPr>
        <w:t>├── 02-配套附件/</w:t>
      </w:r>
    </w:p>
    <w:p>
      <w:r>
        <w:rPr>
          <w:rFonts w:ascii="宋体" w:hAnsi="宋体" w:eastAsia="宋体" w:cs="宋体"/>
          <w:sz w:val="28"/>
          <w:szCs w:val="28"/>
        </w:rPr>
        <w:t>│   ├── 附件一-功能响应清单-v1.1</w:t>
      </w:r>
    </w:p>
    <w:p>
      <w:r>
        <w:rPr>
          <w:rFonts w:ascii="宋体" w:hAnsi="宋体" w:eastAsia="宋体" w:cs="宋体"/>
          <w:sz w:val="28"/>
          <w:szCs w:val="28"/>
        </w:rPr>
        <w:t>│   ├── 附件二-接口清单及报文示例-v1.1</w:t>
      </w:r>
    </w:p>
    <w:p>
      <w:r>
        <w:rPr>
          <w:rFonts w:ascii="宋体" w:hAnsi="宋体" w:eastAsia="宋体" w:cs="宋体"/>
          <w:sz w:val="28"/>
          <w:szCs w:val="28"/>
        </w:rPr>
        <w:t>│   ├── 附件三-角色权限矩阵-v1.1</w:t>
      </w:r>
    </w:p>
    <w:p>
      <w:r>
        <w:rPr>
          <w:rFonts w:ascii="宋体" w:hAnsi="宋体" w:eastAsia="宋体" w:cs="宋体"/>
          <w:sz w:val="28"/>
          <w:szCs w:val="28"/>
        </w:rPr>
        <w:t>│   ├── 附件四-供应商响应模板-v1.1</w:t>
      </w:r>
    </w:p>
    <w:p>
      <w:r>
        <w:rPr>
          <w:rFonts w:ascii="宋体" w:hAnsi="宋体" w:eastAsia="宋体" w:cs="宋体"/>
          <w:sz w:val="28"/>
          <w:szCs w:val="28"/>
        </w:rPr>
        <w:t>│   ├── 附件五-AI接入能力要求及验收条款-v1.1</w:t>
      </w:r>
    </w:p>
    <w:p>
      <w:r>
        <w:rPr>
          <w:rFonts w:ascii="宋体" w:hAnsi="宋体" w:eastAsia="宋体" w:cs="宋体"/>
          <w:sz w:val="28"/>
          <w:szCs w:val="28"/>
        </w:rPr>
        <w:t>│   └── 附件六-物料编码规范-v1.1</w:t>
      </w:r>
    </w:p>
    <w:p>
      <w:r>
        <w:rPr>
          <w:rFonts w:ascii="宋体" w:hAnsi="宋体" w:eastAsia="宋体" w:cs="宋体"/>
          <w:sz w:val="28"/>
          <w:szCs w:val="28"/>
        </w:rPr>
        <w:t>└── 03-说明文件/</w:t>
      </w:r>
    </w:p>
    <w:p>
      <w:r>
        <w:rPr>
          <w:rFonts w:ascii="宋体" w:hAnsi="宋体" w:eastAsia="宋体" w:cs="宋体"/>
          <w:sz w:val="28"/>
          <w:szCs w:val="28"/>
        </w:rPr>
        <w:t>└── 发标包附件说明-v1.1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b/>
          <w:sz w:val="28"/>
          <w:szCs w:val="28"/>
        </w:rPr>
        <w:t>版本统一</w:t>
      </w:r>
      <w:r>
        <w:rPr>
          <w:rFonts w:ascii="宋体" w:hAnsi="宋体" w:eastAsia="宋体" w:cs="宋体"/>
          <w:sz w:val="28"/>
          <w:szCs w:val="28"/>
        </w:rPr>
        <w:t>：V1.1 / 2026-04-20 / 阜矿集团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4.2 封版核对结果</w:t>
      </w:r>
    </w:p>
    <w:p>
      <w:r>
        <w:rPr>
          <w:rFonts w:ascii="宋体" w:hAnsi="宋体" w:eastAsia="宋体" w:cs="宋体"/>
          <w:b/>
          <w:sz w:val="28"/>
          <w:szCs w:val="28"/>
        </w:rPr>
        <w:t>28 项核对一次通过</w:t>
      </w:r>
      <w:r>
        <w:rPr>
          <w:rFonts w:ascii="宋体" w:hAnsi="宋体" w:eastAsia="宋体" w:cs="宋体"/>
          <w:sz w:val="28"/>
          <w:szCs w:val="28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结果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覆盖内容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 通过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27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项目命名、版本、一期边界、模块名称、业务边界、集团平台口径、权威数据源、接口规范、NC 边界、暂估/月结反结、设备/设备租赁/招投标、AI 口径、权限审批、日志审计、附件编号/引用、供应商响应、编码规范、术语统一、内部讨论语气、风险表述、发标包内外边界、版本一致性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保留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 28 项：实际 Word/PDF 文件尚未生成（本汇报签批后批量转换）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× 不通过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P0（一期漏列招投标）、P1（附件三/六外发内容过薄）、P3（05 疑问句式）全部修订闭环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4.3 封版阶段关键修订点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P0 修订</w:t>
      </w:r>
      <w:r>
        <w:rPr>
          <w:rFonts w:ascii="宋体" w:hAnsi="宋体" w:eastAsia="宋体" w:cs="宋体"/>
          <w:sz w:val="28"/>
          <w:szCs w:val="28"/>
        </w:rPr>
        <w:t>：正文 3.1 一期范围补充"（四）招投标管理"条目，后续项顺延，形成完整 15 模块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P1 修订</w:t>
      </w:r>
      <w:r>
        <w:rPr>
          <w:rFonts w:ascii="宋体" w:hAnsi="宋体" w:eastAsia="宋体" w:cs="宋体"/>
          <w:sz w:val="28"/>
          <w:szCs w:val="28"/>
        </w:rPr>
        <w:t>：附件三（20 行 → 215 行）、附件六（20 行 → 483 行）按方案 A 摘要扩写，供应商可直接按附件响应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V2.0 对齐</w:t>
      </w:r>
      <w:r>
        <w:rPr>
          <w:rFonts w:ascii="宋体" w:hAnsi="宋体" w:eastAsia="宋体" w:cs="宋体"/>
          <w:sz w:val="28"/>
          <w:szCs w:val="28"/>
        </w:rPr>
        <w:t>：正文 5.6 新增权威数据源与扩展预留；16.5 新增 API 网关适配能力要求；上位遵循文件更新为 V2.0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措辞收敛</w:t>
      </w:r>
      <w:r>
        <w:rPr>
          <w:rFonts w:ascii="宋体" w:hAnsi="宋体" w:eastAsia="宋体" w:cs="宋体"/>
          <w:sz w:val="28"/>
          <w:szCs w:val="28"/>
        </w:rPr>
        <w:t>：10.9 运维巡检"建议每季度"→"原则上每季度"；05 文档第十章 10 项问题重构为"8 项已确认 + 2 项实施阶段深化"</w:t>
      </w:r>
    </w:p>
    <w:p>
      <w:r>
        <w:rPr>
          <w:rFonts w:ascii="宋体" w:hAnsi="宋体" w:eastAsia="宋体" w:cs="宋体"/>
          <w:sz w:val="28"/>
          <w:szCs w:val="28"/>
        </w:rPr>
        <w:t xml:space="preserve">5. </w:t>
      </w:r>
      <w:r>
        <w:rPr>
          <w:rFonts w:ascii="宋体" w:hAnsi="宋体" w:eastAsia="宋体" w:cs="宋体"/>
          <w:b/>
          <w:sz w:val="28"/>
          <w:szCs w:val="28"/>
        </w:rPr>
        <w:t>引用完整</w:t>
      </w:r>
      <w:r>
        <w:rPr>
          <w:rFonts w:ascii="宋体" w:hAnsi="宋体" w:eastAsia="宋体" w:cs="宋体"/>
          <w:sz w:val="28"/>
          <w:szCs w:val="28"/>
        </w:rPr>
        <w:t>：正文 7.2 / 11 章末 / 17 章对附件二、附件五、附件七的引用均补齐编号和定位说明</w:t>
      </w:r>
    </w:p>
    <w:p>
      <w:r>
        <w:rPr>
          <w:rFonts w:ascii="宋体" w:hAnsi="宋体" w:eastAsia="宋体" w:cs="宋体"/>
          <w:sz w:val="28"/>
          <w:szCs w:val="28"/>
        </w:rPr>
        <w:t xml:space="preserve">6. </w:t>
      </w:r>
      <w:r>
        <w:rPr>
          <w:rFonts w:ascii="宋体" w:hAnsi="宋体" w:eastAsia="宋体" w:cs="宋体"/>
          <w:b/>
          <w:sz w:val="28"/>
          <w:szCs w:val="28"/>
        </w:rPr>
        <w:t>模块名对齐</w:t>
      </w:r>
      <w:r>
        <w:rPr>
          <w:rFonts w:ascii="宋体" w:hAnsi="宋体" w:eastAsia="宋体" w:cs="宋体"/>
          <w:sz w:val="28"/>
          <w:szCs w:val="28"/>
        </w:rPr>
        <w:t>：06、08、附件四、09 中的模块 13/14/15 名称统一为正文口径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4.4 内外边界清晰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外发（对供应商）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内部留存（不外发）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+ 6 附件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需求梳理 00-11 系列、集团统筹原则（V2.0）、AI 专题底稿、详细规则、07 角色权限详表、物资编码规范文档、发标准备工作清单、封版检查清单、封版差异修订记录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第 5 页 下一步时间表与需决策事项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建议时间表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阶段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建议节点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责任方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本汇报签批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放行发标前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集团分管领导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 + 1 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Word/PDF 批量转换并组包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签批后 1 个工作日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 + 2~3 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发标包定稿并正式发布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签批后 2~3 个工作日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 + 招标办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 + 3 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发布到集团招采平台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与发标同日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招标办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 + 10 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供应商答疑会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发标后 7~10 个工作日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 + 20~30 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投标文件接收截止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按招标法规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招标办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 + 25~35 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开标 + 评标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投标截止后 3~5 个工作日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招标办 + 评标专家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T0 + 35~40 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发出中标通知书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评标结束后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招标办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发标后配套准备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答疑口径预热</w:t>
      </w:r>
      <w:r>
        <w:rPr>
          <w:rFonts w:ascii="宋体" w:hAnsi="宋体" w:eastAsia="宋体" w:cs="宋体"/>
          <w:sz w:val="28"/>
          <w:szCs w:val="28"/>
        </w:rPr>
        <w:t>：已形成《供应商答疑口径-v1.1》，覆盖技术栈、AI、NC、信创、招采平台、设备租赁、编码、月结反结等高频疑问，便于答疑会当场统一回复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评标专家配置</w:t>
      </w:r>
      <w:r>
        <w:rPr>
          <w:rFonts w:ascii="宋体" w:hAnsi="宋体" w:eastAsia="宋体" w:cs="宋体"/>
          <w:sz w:val="28"/>
          <w:szCs w:val="28"/>
        </w:rPr>
        <w:t>：建议由网信办 + 财务 + 物资 + 安全 + 外部信息化专家联合评审，重点关注 AI 接入、NC 对接、信创适配、设备租赁、合同风险点管理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供应商资质门槛</w:t>
      </w:r>
      <w:r>
        <w:rPr>
          <w:rFonts w:ascii="宋体" w:hAnsi="宋体" w:eastAsia="宋体" w:cs="宋体"/>
          <w:sz w:val="28"/>
          <w:szCs w:val="28"/>
        </w:rPr>
        <w:t>：建议在招标公告中明确 ISO 27001、信创相关资质、煤炭/能源行业项目案例等要求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需签批决策事项</w:t>
      </w:r>
    </w:p>
    <w:p>
      <w:r>
        <w:rPr>
          <w:rFonts w:ascii="宋体" w:hAnsi="宋体" w:eastAsia="宋体" w:cs="宋体"/>
          <w:b/>
          <w:sz w:val="28"/>
          <w:szCs w:val="28"/>
        </w:rPr>
        <w:t>一、发标方式与渠道</w:t>
      </w:r>
    </w:p>
    <w:p>
      <w:r>
        <w:rPr>
          <w:rFonts w:ascii="宋体" w:hAnsi="宋体" w:eastAsia="宋体" w:cs="宋体"/>
          <w:sz w:val="28"/>
          <w:szCs w:val="28"/>
        </w:rPr>
        <w:t>1. 是否确认通过集团招采平台（或其他指定渠道）正式发布？</w:t>
      </w:r>
    </w:p>
    <w:p>
      <w:r>
        <w:rPr>
          <w:rFonts w:ascii="宋体" w:hAnsi="宋体" w:eastAsia="宋体" w:cs="宋体"/>
          <w:sz w:val="28"/>
          <w:szCs w:val="28"/>
        </w:rPr>
        <w:t>2. 是否需同时在集团门户、招标公告栏发布？</w:t>
      </w:r>
    </w:p>
    <w:p>
      <w:r>
        <w:rPr>
          <w:rFonts w:ascii="宋体" w:hAnsi="宋体" w:eastAsia="宋体" w:cs="宋体"/>
          <w:b/>
          <w:sz w:val="28"/>
          <w:szCs w:val="28"/>
        </w:rPr>
        <w:t>二、签章与盖章</w:t>
      </w:r>
    </w:p>
    <w:p>
      <w:r>
        <w:rPr>
          <w:rFonts w:ascii="宋体" w:hAnsi="宋体" w:eastAsia="宋体" w:cs="宋体"/>
          <w:sz w:val="28"/>
          <w:szCs w:val="28"/>
        </w:rPr>
        <w:t>1. 正文与附件是否需加盖集团公章 + 网信办项目章？</w:t>
      </w:r>
    </w:p>
    <w:p>
      <w:r>
        <w:rPr>
          <w:rFonts w:ascii="宋体" w:hAnsi="宋体" w:eastAsia="宋体" w:cs="宋体"/>
          <w:sz w:val="28"/>
          <w:szCs w:val="28"/>
        </w:rPr>
        <w:t>2. 是否以加盖章的 PDF 版本为最终外发版？</w:t>
      </w:r>
    </w:p>
    <w:p>
      <w:r>
        <w:rPr>
          <w:rFonts w:ascii="宋体" w:hAnsi="宋体" w:eastAsia="宋体" w:cs="宋体"/>
          <w:b/>
          <w:sz w:val="28"/>
          <w:szCs w:val="28"/>
        </w:rPr>
        <w:t>三、答疑管理</w:t>
      </w:r>
    </w:p>
    <w:p>
      <w:r>
        <w:rPr>
          <w:rFonts w:ascii="宋体" w:hAnsi="宋体" w:eastAsia="宋体" w:cs="宋体"/>
          <w:sz w:val="28"/>
          <w:szCs w:val="28"/>
        </w:rPr>
        <w:t>1. 是否允许供应商就附件二（接口清单）和附件五（AI 接入）提出专项答疑？</w:t>
      </w:r>
    </w:p>
    <w:p>
      <w:r>
        <w:rPr>
          <w:rFonts w:ascii="宋体" w:hAnsi="宋体" w:eastAsia="宋体" w:cs="宋体"/>
          <w:sz w:val="28"/>
          <w:szCs w:val="28"/>
        </w:rPr>
        <w:t>2. 答疑统一回复方式：逐家邮件回复 / 集中公告 / 答疑会现场？</w:t>
      </w:r>
    </w:p>
    <w:p>
      <w:r>
        <w:rPr>
          <w:rFonts w:ascii="宋体" w:hAnsi="宋体" w:eastAsia="宋体" w:cs="宋体"/>
          <w:b/>
          <w:sz w:val="28"/>
          <w:szCs w:val="28"/>
        </w:rPr>
        <w:t>四、评标组织</w:t>
      </w:r>
    </w:p>
    <w:p>
      <w:r>
        <w:rPr>
          <w:rFonts w:ascii="宋体" w:hAnsi="宋体" w:eastAsia="宋体" w:cs="宋体"/>
          <w:sz w:val="28"/>
          <w:szCs w:val="28"/>
        </w:rPr>
        <w:t>1. 评标专家组构成是否按建议组建？</w:t>
      </w:r>
    </w:p>
    <w:p>
      <w:r>
        <w:rPr>
          <w:rFonts w:ascii="宋体" w:hAnsi="宋体" w:eastAsia="宋体" w:cs="宋体"/>
          <w:sz w:val="28"/>
          <w:szCs w:val="28"/>
        </w:rPr>
        <w:t>2. 是否需要引入第三方信息化评标顾问？</w:t>
      </w:r>
    </w:p>
    <w:p>
      <w:r>
        <w:rPr>
          <w:rFonts w:ascii="宋体" w:hAnsi="宋体" w:eastAsia="宋体" w:cs="宋体"/>
          <w:b/>
          <w:sz w:val="28"/>
          <w:szCs w:val="28"/>
        </w:rPr>
        <w:t>五、合同模板与商务条款</w:t>
      </w:r>
    </w:p>
    <w:p>
      <w:r>
        <w:rPr>
          <w:rFonts w:ascii="宋体" w:hAnsi="宋体" w:eastAsia="宋体" w:cs="宋体"/>
          <w:sz w:val="28"/>
          <w:szCs w:val="28"/>
        </w:rPr>
        <w:t>1. 本次采购合同模板是否已由法务部门定稿？</w:t>
      </w:r>
    </w:p>
    <w:p>
      <w:r>
        <w:rPr>
          <w:rFonts w:ascii="宋体" w:hAnsi="宋体" w:eastAsia="宋体" w:cs="宋体"/>
          <w:sz w:val="28"/>
          <w:szCs w:val="28"/>
        </w:rPr>
        <w:t>2. 商务条款（付款节点、验收条款、质保期、违约条款）是否需在发标前再次对齐？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5.4 潜在风险与应对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风险点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潜在影响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应对措施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信创数据库性能未实测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大规模并发场景存在性能风险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要求投标方提供同类项目信创数据库性能案例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入口建设进度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 AI 入口尚未完全就绪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附件五明确联调节点和验收条款，允许分阶段接入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招采平台对接细节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一期仅要求协同级对接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已在正文 6.1/14.1 明确协同边界，深度直连列为二期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辽宁能源统一编码未发布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编码规范扩展预留可能需后续调整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已预留字段和映射表能力，对接时按需启用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供应商对 N:1 映射理解偏差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可能影响 NC 对接工作量评估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附件六第 7 章详细说明映射逻辑和 SQL 示意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结论建议：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发标包完成封版核对，质量可控、合规到位、边界清晰，建议签批放行发标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建议按本汇报所列时间表推进，从签批到中标通知总周期约 35~40 个工作日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签批事项请集团分管领导在本汇报基础上做二次确认，网信办将据此形成正式发标包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附：相关配套文档清单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用途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《物资供应管理系统招标技术要求-v1.1》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发标正文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附件一至附件六（v1.1）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发标配套附件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《发标包最终目录及附件说明-v1.1》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发标包外发结构说明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《封版检查清单-v1.1》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28 项核对清单 + 执行结果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《封版差异修订记录-v1.1》V1.4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封版阶段所有修订记录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《供应商答疑口径-v1.1》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发标后答疑统一回复依据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《集团业务系统统一建设原则（V2.0）》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上位遵循文件（内部参考）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