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jc w:val="left"/>
      </w:pPr>
      <w:r>
        <w:rPr>
          <w:rFonts w:ascii="宋体" w:hAnsi="宋体" w:eastAsia="宋体" w:cs="宋体"/>
          <w:b/>
          <w:sz w:val="40"/>
          <w:szCs w:val="40"/>
        </w:rPr>
        <w:t>附件五：AI接入能力要求及验收条款（V1.1）</w:t>
      </w:r>
    </w:p>
    <w:p>
      <w:r>
        <w:rPr>
          <w:rFonts w:ascii="宋体" w:hAnsi="宋体" w:eastAsia="宋体" w:cs="宋体"/>
          <w:b/>
          <w:sz w:val="28"/>
          <w:szCs w:val="28"/>
        </w:rPr>
        <w:t>版本：</w:t>
      </w:r>
      <w:r>
        <w:rPr>
          <w:rFonts w:ascii="宋体" w:hAnsi="宋体" w:eastAsia="宋体" w:cs="宋体"/>
          <w:sz w:val="28"/>
          <w:szCs w:val="28"/>
        </w:rPr>
        <w:t xml:space="preserve"> V1.1</w:t>
      </w:r>
    </w:p>
    <w:p>
      <w:r>
        <w:rPr>
          <w:rFonts w:ascii="宋体" w:hAnsi="宋体" w:eastAsia="宋体" w:cs="宋体"/>
          <w:b/>
          <w:sz w:val="28"/>
          <w:szCs w:val="28"/>
        </w:rPr>
        <w:t>日期：</w:t>
      </w:r>
      <w:r>
        <w:rPr>
          <w:rFonts w:ascii="宋体" w:hAnsi="宋体" w:eastAsia="宋体" w:cs="宋体"/>
          <w:sz w:val="28"/>
          <w:szCs w:val="28"/>
        </w:rPr>
        <w:t xml:space="preserve"> 2026-04-20</w:t>
      </w:r>
    </w:p>
    <w:p>
      <w:r>
        <w:rPr>
          <w:rFonts w:ascii="宋体" w:hAnsi="宋体" w:eastAsia="宋体" w:cs="宋体"/>
          <w:b/>
          <w:sz w:val="28"/>
          <w:szCs w:val="28"/>
        </w:rPr>
        <w:t>编制单位：</w:t>
      </w:r>
      <w:r>
        <w:rPr>
          <w:rFonts w:ascii="宋体" w:hAnsi="宋体" w:eastAsia="宋体" w:cs="宋体"/>
          <w:sz w:val="28"/>
          <w:szCs w:val="28"/>
        </w:rPr>
        <w:t xml:space="preserve"> 阜矿集团</w:t>
      </w:r>
    </w:p>
    <w:p>
      <w:r>
        <w:rPr>
          <w:rFonts w:ascii="宋体" w:hAnsi="宋体" w:eastAsia="宋体" w:cs="宋体"/>
          <w:b/>
          <w:sz w:val="28"/>
          <w:szCs w:val="28"/>
        </w:rPr>
        <w:t>文档性质：</w:t>
      </w:r>
      <w:r>
        <w:rPr>
          <w:rFonts w:ascii="宋体" w:hAnsi="宋体" w:eastAsia="宋体" w:cs="宋体"/>
          <w:sz w:val="28"/>
          <w:szCs w:val="28"/>
        </w:rPr>
        <w:t xml:space="preserve"> 招标技术要求配套附件</w:t>
      </w:r>
    </w:p>
    <w:p>
      <w:r>
        <w:rPr>
          <w:rFonts w:ascii="宋体" w:hAnsi="宋体" w:eastAsia="宋体" w:cs="宋体"/>
          <w:b/>
          <w:sz w:val="28"/>
          <w:szCs w:val="28"/>
        </w:rPr>
        <w:t>对应正文：</w:t>
      </w:r>
      <w:r>
        <w:rPr>
          <w:rFonts w:ascii="宋体" w:hAnsi="宋体" w:eastAsia="宋体" w:cs="宋体"/>
          <w:sz w:val="28"/>
          <w:szCs w:val="28"/>
        </w:rPr>
        <w:t xml:space="preserve"> 《物资供应管理系统招标技术要求-V1.1》第十一章、第十四章 14.5 节</w:t>
      </w:r>
    </w:p>
    <w:p>
      <w:pPr>
        <w:pStyle w:val="Heading2"/>
        <w:keepNext/>
        <w:jc w:val="left"/>
      </w:pPr>
      <w:r>
        <w:rPr>
          <w:rFonts w:ascii="宋体" w:hAnsi="宋体" w:eastAsia="宋体" w:cs="宋体"/>
          <w:b/>
          <w:sz w:val="28"/>
          <w:szCs w:val="28"/>
        </w:rPr>
        <w:t>一、适用范围</w:t>
      </w:r>
    </w:p>
    <w:p>
      <w:r>
        <w:rPr>
          <w:rFonts w:ascii="宋体" w:hAnsi="宋体" w:eastAsia="宋体" w:cs="宋体"/>
          <w:sz w:val="28"/>
          <w:szCs w:val="28"/>
        </w:rPr>
        <w:t>本附件适用于《物资供应管理系统招标技术要求-V1.1》第十一章和第十四章 14.5 节，作为本次招标 AI 接入必做要求的补充说明。</w:t>
      </w:r>
    </w:p>
    <w:p>
      <w:pPr>
        <w:pStyle w:val="Heading2"/>
        <w:keepNext/>
        <w:jc w:val="left"/>
      </w:pPr>
      <w:r>
        <w:rPr>
          <w:rFonts w:ascii="宋体" w:hAnsi="宋体" w:eastAsia="宋体" w:cs="宋体"/>
          <w:b/>
          <w:sz w:val="28"/>
          <w:szCs w:val="28"/>
        </w:rPr>
        <w:t>二、总体要求</w:t>
      </w:r>
    </w:p>
    <w:p>
      <w:r>
        <w:rPr>
          <w:rFonts w:ascii="宋体" w:hAnsi="宋体" w:eastAsia="宋体" w:cs="宋体"/>
          <w:sz w:val="28"/>
          <w:szCs w:val="28"/>
        </w:rPr>
        <w:t>- AI 接入为本次招标必做内容</w:t>
      </w:r>
    </w:p>
    <w:p>
      <w:r>
        <w:rPr>
          <w:rFonts w:ascii="宋体" w:hAnsi="宋体" w:eastAsia="宋体" w:cs="宋体"/>
          <w:sz w:val="28"/>
          <w:szCs w:val="28"/>
        </w:rPr>
        <w:t>- 物资管理系统涉及的 AI 能力应统一并入招标方网信办统一 AI 入口</w:t>
      </w:r>
    </w:p>
    <w:p>
      <w:r>
        <w:rPr>
          <w:rFonts w:ascii="宋体" w:hAnsi="宋体" w:eastAsia="宋体" w:cs="宋体"/>
          <w:sz w:val="28"/>
          <w:szCs w:val="28"/>
        </w:rPr>
        <w:t>- 不得另行建设独立 AI 门户、独立智能问答入口或与统一 AI 平台割裂的智能应用体系</w:t>
      </w:r>
    </w:p>
    <w:p>
      <w:r>
        <w:rPr>
          <w:rFonts w:ascii="宋体" w:hAnsi="宋体" w:eastAsia="宋体" w:cs="宋体"/>
          <w:sz w:val="28"/>
          <w:szCs w:val="28"/>
        </w:rPr>
        <w:t>- AI 平台不得直接访问底层数据库，所有数据均应通过受控业务接口获取</w:t>
      </w:r>
    </w:p>
    <w:p>
      <w:r>
        <w:rPr>
          <w:rFonts w:ascii="宋体" w:hAnsi="宋体" w:eastAsia="宋体" w:cs="宋体"/>
          <w:sz w:val="28"/>
          <w:szCs w:val="28"/>
        </w:rPr>
        <w:t>- AI 查询结果必须与业务系统现有权限体系保持一致</w:t>
      </w:r>
    </w:p>
    <w:p>
      <w:pPr>
        <w:pStyle w:val="Heading2"/>
        <w:keepNext/>
        <w:jc w:val="left"/>
      </w:pPr>
      <w:r>
        <w:rPr>
          <w:rFonts w:ascii="宋体" w:hAnsi="宋体" w:eastAsia="宋体" w:cs="宋体"/>
          <w:b/>
          <w:sz w:val="28"/>
          <w:szCs w:val="28"/>
        </w:rPr>
        <w:t>三、最低能力开放范围</w:t>
      </w:r>
    </w:p>
    <w:p>
      <w:r>
        <w:rPr>
          <w:rFonts w:ascii="宋体" w:hAnsi="宋体" w:eastAsia="宋体" w:cs="宋体"/>
          <w:sz w:val="28"/>
          <w:szCs w:val="28"/>
        </w:rPr>
        <w:t>投标方至少应开放以下 8 类标准业务能力接口，供统一 AI 平台注册为 Tool 使用：</w:t>
      </w:r>
    </w:p>
    <w:p>
      <w:r>
        <w:rPr>
          <w:rFonts w:ascii="宋体" w:hAnsi="宋体" w:eastAsia="宋体" w:cs="宋体"/>
          <w:sz w:val="28"/>
          <w:szCs w:val="28"/>
        </w:rPr>
        <w:t>1. 库存查询能力</w:t>
      </w:r>
    </w:p>
    <w:p>
      <w:r>
        <w:rPr>
          <w:rFonts w:ascii="宋体" w:hAnsi="宋体" w:eastAsia="宋体" w:cs="宋体"/>
          <w:sz w:val="28"/>
          <w:szCs w:val="28"/>
        </w:rPr>
        <w:t>2. 出入库业务查询能力</w:t>
      </w:r>
    </w:p>
    <w:p>
      <w:r>
        <w:rPr>
          <w:rFonts w:ascii="宋体" w:hAnsi="宋体" w:eastAsia="宋体" w:cs="宋体"/>
          <w:sz w:val="28"/>
          <w:szCs w:val="28"/>
        </w:rPr>
        <w:t>3. 采购与到货查询能力</w:t>
      </w:r>
    </w:p>
    <w:p>
      <w:r>
        <w:rPr>
          <w:rFonts w:ascii="宋体" w:hAnsi="宋体" w:eastAsia="宋体" w:cs="宋体"/>
          <w:sz w:val="28"/>
          <w:szCs w:val="28"/>
        </w:rPr>
        <w:t>4. 供应商查询能力</w:t>
      </w:r>
    </w:p>
    <w:p>
      <w:r>
        <w:rPr>
          <w:rFonts w:ascii="宋体" w:hAnsi="宋体" w:eastAsia="宋体" w:cs="宋体"/>
          <w:sz w:val="28"/>
          <w:szCs w:val="28"/>
        </w:rPr>
        <w:t>5. 领用与消耗分析能力</w:t>
      </w:r>
    </w:p>
    <w:p>
      <w:r>
        <w:rPr>
          <w:rFonts w:ascii="宋体" w:hAnsi="宋体" w:eastAsia="宋体" w:cs="宋体"/>
          <w:sz w:val="28"/>
          <w:szCs w:val="28"/>
        </w:rPr>
        <w:t>6. 预警与异常识别能力</w:t>
      </w:r>
    </w:p>
    <w:p>
      <w:r>
        <w:rPr>
          <w:rFonts w:ascii="宋体" w:hAnsi="宋体" w:eastAsia="宋体" w:cs="宋体"/>
          <w:sz w:val="28"/>
          <w:szCs w:val="28"/>
        </w:rPr>
        <w:t>7. 合同与付款查询能力</w:t>
      </w:r>
    </w:p>
    <w:p>
      <w:r>
        <w:rPr>
          <w:rFonts w:ascii="宋体" w:hAnsi="宋体" w:eastAsia="宋体" w:cs="宋体"/>
          <w:sz w:val="28"/>
          <w:szCs w:val="28"/>
        </w:rPr>
        <w:t>8. 设备与设备租赁查询能力</w:t>
      </w:r>
    </w:p>
    <w:p>
      <w:pPr>
        <w:pStyle w:val="Heading2"/>
        <w:keepNext/>
        <w:jc w:val="left"/>
      </w:pPr>
      <w:r>
        <w:rPr>
          <w:rFonts w:ascii="宋体" w:hAnsi="宋体" w:eastAsia="宋体" w:cs="宋体"/>
          <w:b/>
          <w:sz w:val="28"/>
          <w:szCs w:val="28"/>
        </w:rPr>
        <w:t>四、接口与Tool要求</w:t>
      </w:r>
    </w:p>
    <w:p>
      <w:r>
        <w:rPr>
          <w:rFonts w:ascii="宋体" w:hAnsi="宋体" w:eastAsia="宋体" w:cs="宋体"/>
          <w:sz w:val="28"/>
          <w:szCs w:val="28"/>
        </w:rPr>
        <w:t>每项能力接口至少应具备以下内容：</w:t>
      </w:r>
    </w:p>
    <w:p>
      <w:r>
        <w:rPr>
          <w:rFonts w:ascii="宋体" w:hAnsi="宋体" w:eastAsia="宋体" w:cs="宋体"/>
          <w:sz w:val="28"/>
          <w:szCs w:val="28"/>
        </w:rPr>
        <w:t>- 接口名称</w:t>
      </w:r>
    </w:p>
    <w:p>
      <w:r>
        <w:rPr>
          <w:rFonts w:ascii="宋体" w:hAnsi="宋体" w:eastAsia="宋体" w:cs="宋体"/>
          <w:sz w:val="28"/>
          <w:szCs w:val="28"/>
        </w:rPr>
        <w:t>- 功能说明</w:t>
      </w:r>
    </w:p>
    <w:p>
      <w:r>
        <w:rPr>
          <w:rFonts w:ascii="宋体" w:hAnsi="宋体" w:eastAsia="宋体" w:cs="宋体"/>
          <w:sz w:val="28"/>
          <w:szCs w:val="28"/>
        </w:rPr>
        <w:t>- 输入参数定义</w:t>
      </w:r>
    </w:p>
    <w:p>
      <w:r>
        <w:rPr>
          <w:rFonts w:ascii="宋体" w:hAnsi="宋体" w:eastAsia="宋体" w:cs="宋体"/>
          <w:sz w:val="28"/>
          <w:szCs w:val="28"/>
        </w:rPr>
        <w:t>- 参数类型及是否必填</w:t>
      </w:r>
    </w:p>
    <w:p>
      <w:r>
        <w:rPr>
          <w:rFonts w:ascii="宋体" w:hAnsi="宋体" w:eastAsia="宋体" w:cs="宋体"/>
          <w:sz w:val="28"/>
          <w:szCs w:val="28"/>
        </w:rPr>
        <w:t>- 输出结果结构</w:t>
      </w:r>
    </w:p>
    <w:p>
      <w:r>
        <w:rPr>
          <w:rFonts w:ascii="宋体" w:hAnsi="宋体" w:eastAsia="宋体" w:cs="宋体"/>
          <w:sz w:val="28"/>
          <w:szCs w:val="28"/>
        </w:rPr>
        <w:t>- 权限控制要求</w:t>
      </w:r>
    </w:p>
    <w:p>
      <w:r>
        <w:rPr>
          <w:rFonts w:ascii="宋体" w:hAnsi="宋体" w:eastAsia="宋体" w:cs="宋体"/>
          <w:sz w:val="28"/>
          <w:szCs w:val="28"/>
        </w:rPr>
        <w:t>- 错误码及异常返回说明</w:t>
      </w:r>
    </w:p>
    <w:p>
      <w:r>
        <w:rPr>
          <w:rFonts w:ascii="宋体" w:hAnsi="宋体" w:eastAsia="宋体" w:cs="宋体"/>
          <w:sz w:val="28"/>
          <w:szCs w:val="28"/>
        </w:rPr>
        <w:t>- 典型调用示例</w:t>
      </w:r>
    </w:p>
    <w:p>
      <w:r>
        <w:rPr>
          <w:rFonts w:ascii="宋体" w:hAnsi="宋体" w:eastAsia="宋体" w:cs="宋体"/>
          <w:sz w:val="28"/>
          <w:szCs w:val="28"/>
        </w:rPr>
        <w:t>接口返回应优先采用结构化结果，便于统一 AI 平台完成摘要生成、明细展示、多轮追问和场景编排。</w:t>
      </w:r>
    </w:p>
    <w:p>
      <w:pPr>
        <w:pStyle w:val="Heading2"/>
        <w:keepNext/>
        <w:jc w:val="left"/>
      </w:pPr>
      <w:r>
        <w:rPr>
          <w:rFonts w:ascii="宋体" w:hAnsi="宋体" w:eastAsia="宋体" w:cs="宋体"/>
          <w:b/>
          <w:sz w:val="28"/>
          <w:szCs w:val="28"/>
        </w:rPr>
        <w:t>五、权限与安全要求</w:t>
      </w:r>
    </w:p>
    <w:p>
      <w:r>
        <w:rPr>
          <w:rFonts w:ascii="宋体" w:hAnsi="宋体" w:eastAsia="宋体" w:cs="宋体"/>
          <w:sz w:val="28"/>
          <w:szCs w:val="28"/>
        </w:rPr>
        <w:t>- 支持统一身份识别或单点登录</w:t>
      </w:r>
    </w:p>
    <w:p>
      <w:r>
        <w:rPr>
          <w:rFonts w:ascii="宋体" w:hAnsi="宋体" w:eastAsia="宋体" w:cs="宋体"/>
          <w:sz w:val="28"/>
          <w:szCs w:val="28"/>
        </w:rPr>
        <w:t>- 支持用户、角色、组织、岗位信息映射</w:t>
      </w:r>
    </w:p>
    <w:p>
      <w:r>
        <w:rPr>
          <w:rFonts w:ascii="宋体" w:hAnsi="宋体" w:eastAsia="宋体" w:cs="宋体"/>
          <w:sz w:val="28"/>
          <w:szCs w:val="28"/>
        </w:rPr>
        <w:t>- 支持按组织、仓库、部门、项目等维度控制数据可见范围</w:t>
      </w:r>
    </w:p>
    <w:p>
      <w:r>
        <w:rPr>
          <w:rFonts w:ascii="宋体" w:hAnsi="宋体" w:eastAsia="宋体" w:cs="宋体"/>
          <w:sz w:val="28"/>
          <w:szCs w:val="28"/>
        </w:rPr>
        <w:t>- 支持采购金额、合同金额、价格等敏感字段按权限控制</w:t>
      </w:r>
    </w:p>
    <w:p>
      <w:r>
        <w:rPr>
          <w:rFonts w:ascii="宋体" w:hAnsi="宋体" w:eastAsia="宋体" w:cs="宋体"/>
          <w:sz w:val="28"/>
          <w:szCs w:val="28"/>
        </w:rPr>
        <w:t>- 应记录接口调用日志、权限校验日志和异常日志</w:t>
      </w:r>
    </w:p>
    <w:p>
      <w:r>
        <w:rPr>
          <w:rFonts w:ascii="宋体" w:hAnsi="宋体" w:eastAsia="宋体" w:cs="宋体"/>
          <w:sz w:val="28"/>
          <w:szCs w:val="28"/>
        </w:rPr>
        <w:t>- 应支持按用户、时间、接口、业务对象等维度审计追踪</w:t>
      </w:r>
    </w:p>
    <w:p>
      <w:pPr>
        <w:pStyle w:val="Heading2"/>
        <w:keepNext/>
        <w:jc w:val="left"/>
      </w:pPr>
      <w:r>
        <w:rPr>
          <w:rFonts w:ascii="宋体" w:hAnsi="宋体" w:eastAsia="宋体" w:cs="宋体"/>
          <w:b/>
          <w:sz w:val="28"/>
          <w:szCs w:val="28"/>
        </w:rPr>
        <w:t>六、联调与交付要求</w:t>
      </w:r>
    </w:p>
    <w:p>
      <w:r>
        <w:rPr>
          <w:rFonts w:ascii="宋体" w:hAnsi="宋体" w:eastAsia="宋体" w:cs="宋体"/>
          <w:sz w:val="28"/>
          <w:szCs w:val="28"/>
        </w:rPr>
        <w:t>投标方应至少提供以下交付物并配合联调：</w:t>
      </w:r>
    </w:p>
    <w:p>
      <w:r>
        <w:rPr>
          <w:rFonts w:ascii="宋体" w:hAnsi="宋体" w:eastAsia="宋体" w:cs="宋体"/>
          <w:sz w:val="28"/>
          <w:szCs w:val="28"/>
        </w:rPr>
        <w:t>- AI 接口文档</w:t>
      </w:r>
    </w:p>
    <w:p>
      <w:r>
        <w:rPr>
          <w:rFonts w:ascii="宋体" w:hAnsi="宋体" w:eastAsia="宋体" w:cs="宋体"/>
          <w:sz w:val="28"/>
          <w:szCs w:val="28"/>
        </w:rPr>
        <w:t>- 字段说明与数据字典</w:t>
      </w:r>
    </w:p>
    <w:p>
      <w:r>
        <w:rPr>
          <w:rFonts w:ascii="宋体" w:hAnsi="宋体" w:eastAsia="宋体" w:cs="宋体"/>
          <w:sz w:val="28"/>
          <w:szCs w:val="28"/>
        </w:rPr>
        <w:t>- Tool 清单</w:t>
      </w:r>
    </w:p>
    <w:p>
      <w:r>
        <w:rPr>
          <w:rFonts w:ascii="宋体" w:hAnsi="宋体" w:eastAsia="宋体" w:cs="宋体"/>
          <w:sz w:val="28"/>
          <w:szCs w:val="28"/>
        </w:rPr>
        <w:t>- 示例报文</w:t>
      </w:r>
    </w:p>
    <w:p>
      <w:r>
        <w:rPr>
          <w:rFonts w:ascii="宋体" w:hAnsi="宋体" w:eastAsia="宋体" w:cs="宋体"/>
          <w:sz w:val="28"/>
          <w:szCs w:val="28"/>
        </w:rPr>
        <w:t>- 测试环境与测试账号</w:t>
      </w:r>
    </w:p>
    <w:p>
      <w:r>
        <w:rPr>
          <w:rFonts w:ascii="宋体" w:hAnsi="宋体" w:eastAsia="宋体" w:cs="宋体"/>
          <w:sz w:val="28"/>
          <w:szCs w:val="28"/>
        </w:rPr>
        <w:t>- 联调记录与场景测试记录</w:t>
      </w:r>
    </w:p>
    <w:p>
      <w:pPr>
        <w:pStyle w:val="Heading2"/>
        <w:keepNext/>
        <w:jc w:val="left"/>
      </w:pPr>
      <w:r>
        <w:rPr>
          <w:rFonts w:ascii="宋体" w:hAnsi="宋体" w:eastAsia="宋体" w:cs="宋体"/>
          <w:b/>
          <w:sz w:val="28"/>
          <w:szCs w:val="28"/>
        </w:rPr>
        <w:t>七、验收条款</w:t>
      </w:r>
    </w:p>
    <w:p>
      <w:r>
        <w:rPr>
          <w:rFonts w:ascii="宋体" w:hAnsi="宋体" w:eastAsia="宋体" w:cs="宋体"/>
          <w:sz w:val="28"/>
          <w:szCs w:val="28"/>
        </w:rPr>
        <w:t>验收至少应满足以下要求：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序号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验收项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验收要求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验收方式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1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统一入口接入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AI 能力已并入统一 AI 入口，未另建独立门户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平台演示、架构核查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2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能力开放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已完成 8 类最低能力接口开放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文档检查、场景测试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3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Tool 支撑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已完成 Tool 注册验证，可被统一 AI 平台调用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联调记录、平台配置检查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4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结构化输出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返回结果结构化、可解释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报文检查、联调验证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5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权限一致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不同权限账号返回结果范围一致受控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权限测试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6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数据受控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未开放底层数据库，数据经业务接口访问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架构核查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7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日志审计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调用日志、权限日志、异常日志可追溯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日志检查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8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场景验证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典型场景测试通过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测试记录</w:t>
            </w:r>
          </w:p>
        </w:tc>
      </w:tr>
    </w:tbl>
    <w:p>
      <w:pPr>
        <w:pStyle w:val="Heading2"/>
        <w:keepNext/>
        <w:jc w:val="left"/>
      </w:pPr>
      <w:r>
        <w:rPr>
          <w:rFonts w:ascii="宋体" w:hAnsi="宋体" w:eastAsia="宋体" w:cs="宋体"/>
          <w:b/>
          <w:sz w:val="28"/>
          <w:szCs w:val="28"/>
        </w:rPr>
        <w:t>八、典型场景</w:t>
      </w:r>
    </w:p>
    <w:p>
      <w:r>
        <w:rPr>
          <w:rFonts w:ascii="宋体" w:hAnsi="宋体" w:eastAsia="宋体" w:cs="宋体"/>
          <w:sz w:val="28"/>
          <w:szCs w:val="28"/>
        </w:rPr>
        <w:t>- 查询某仓某物资当前库存及低库存预警</w:t>
      </w:r>
    </w:p>
    <w:p>
      <w:r>
        <w:rPr>
          <w:rFonts w:ascii="宋体" w:hAnsi="宋体" w:eastAsia="宋体" w:cs="宋体"/>
          <w:sz w:val="28"/>
          <w:szCs w:val="28"/>
        </w:rPr>
        <w:t>- 查询本月未到货采购单</w:t>
      </w:r>
    </w:p>
    <w:p>
      <w:r>
        <w:rPr>
          <w:rFonts w:ascii="宋体" w:hAnsi="宋体" w:eastAsia="宋体" w:cs="宋体"/>
          <w:sz w:val="28"/>
          <w:szCs w:val="28"/>
        </w:rPr>
        <w:t>- 查询某供应商近期履约情况</w:t>
      </w:r>
    </w:p>
    <w:p>
      <w:r>
        <w:rPr>
          <w:rFonts w:ascii="宋体" w:hAnsi="宋体" w:eastAsia="宋体" w:cs="宋体"/>
          <w:sz w:val="28"/>
          <w:szCs w:val="28"/>
        </w:rPr>
        <w:t>- 查询某合同付款进度及当月预支付计划</w:t>
      </w:r>
    </w:p>
    <w:p>
      <w:r>
        <w:rPr>
          <w:rFonts w:ascii="宋体" w:hAnsi="宋体" w:eastAsia="宋体" w:cs="宋体"/>
          <w:sz w:val="28"/>
          <w:szCs w:val="28"/>
        </w:rPr>
        <w:t>- 查询某设备当前状态及租赁执行情况</w:t>
      </w:r>
    </w:p>
    <w:p>
      <w:pPr>
        <w:pStyle w:val="Heading2"/>
        <w:keepNext/>
        <w:jc w:val="left"/>
      </w:pPr>
      <w:r>
        <w:rPr>
          <w:rFonts w:ascii="宋体" w:hAnsi="宋体" w:eastAsia="宋体" w:cs="宋体"/>
          <w:b/>
          <w:sz w:val="28"/>
          <w:szCs w:val="28"/>
        </w:rPr>
        <w:t>九、禁止性要求</w:t>
      </w:r>
    </w:p>
    <w:p>
      <w:r>
        <w:rPr>
          <w:rFonts w:ascii="宋体" w:hAnsi="宋体" w:eastAsia="宋体" w:cs="宋体"/>
          <w:sz w:val="28"/>
          <w:szCs w:val="28"/>
        </w:rPr>
        <w:t>- 不得建设独立 AI 门户</w:t>
      </w:r>
    </w:p>
    <w:p>
      <w:r>
        <w:rPr>
          <w:rFonts w:ascii="宋体" w:hAnsi="宋体" w:eastAsia="宋体" w:cs="宋体"/>
          <w:sz w:val="28"/>
          <w:szCs w:val="28"/>
        </w:rPr>
        <w:t>- 不得绕过业务系统权限控制直接向 AI 平台开放数据库</w:t>
      </w:r>
    </w:p>
    <w:p>
      <w:r>
        <w:rPr>
          <w:rFonts w:ascii="宋体" w:hAnsi="宋体" w:eastAsia="宋体" w:cs="宋体"/>
          <w:sz w:val="28"/>
          <w:szCs w:val="28"/>
        </w:rPr>
        <w:t>- 不得脱离统一日志、统一审计、统一运维体系单独运行</w:t>
      </w:r>
    </w:p>
    <w:sectPr w:rsidR="00FC693F" w:rsidRPr="0006063C" w:rsidSect="00034616">
      <w:headerReference w:type="default" r:id="rId9"/>
      <w:headerReference w:type="first" r:id="rId10"/>
      <w:headerReference w:type="even" r:id="rId11"/>
      <w:footerReference w:type="default" r:id="rId12"/>
      <w:footerReference w:type="first" r:id="rId13"/>
      <w:footerReference w:type="even" r:id="rId14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rPr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rPr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rPr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rPr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rPr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rPr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 w:cs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 w:cs="宋体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宋体" w:hAnsi="宋体" w:eastAsia="宋体" w:cs="宋体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 w:cs="宋体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宋体" w:hAnsi="宋体" w:eastAsia="宋体" w:cs="宋体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 w:cs="宋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 w:cs="宋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 w:eastAsia="宋体" w:cs="宋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 w:eastAsia="宋体" w:cs="宋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 w:eastAsia="宋体" w:cs="宋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 w:eastAsia="宋体" w:cs="宋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宋体" w:hAnsi="宋体" w:eastAsia="宋体" w:cs="宋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宋体" w:hAnsi="宋体" w:eastAsia="宋体" w:cs="宋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宋体" w:hAnsi="宋体" w:eastAsia="宋体" w:cs="宋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宋体" w:hAnsi="宋体" w:eastAsia="宋体" w:cs="宋体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rPr>
      <w:rFonts w:ascii="宋体" w:hAnsi="宋体" w:eastAsia="宋体" w:cs="宋体"/>
    </w:rPr>
  </w:style>
  <w:style w:type="numbering" w:default="1" w:styleId="NoList">
    <w:name w:val="No List"/>
    <w:uiPriority w:val="99"/>
    <w:semiHidden/>
    <w:unhideWhenUsed/>
    <w:rPr>
      <w:rFonts w:ascii="宋体" w:hAnsi="宋体" w:eastAsia="宋体" w:cs="宋体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宋体" w:hAnsi="宋体" w:eastAsia="宋体" w:cs="宋体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宋体" w:hAnsi="宋体" w:eastAsia="宋体" w:cs="宋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宋体" w:hAnsi="宋体" w:eastAsia="宋体" w:cs="宋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宋体" w:hAnsi="宋体" w:eastAsia="宋体" w:cs="宋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宋体" w:hAnsi="宋体" w:eastAsia="宋体" w:cs="宋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宋体" w:hAnsi="宋体" w:eastAsia="宋体" w:cs="宋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宋体" w:hAnsi="宋体" w:eastAsia="宋体" w:cs="宋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宋体" w:hAnsi="宋体" w:eastAsia="宋体" w:cs="宋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宋体" w:hAnsi="宋体" w:eastAsia="宋体" w:cs="宋体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宋体" w:hAnsi="宋体" w:eastAsia="宋体" w:cs="宋体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宋体" w:hAnsi="宋体" w:eastAsia="宋体" w:cs="宋体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宋体" w:hAnsi="宋体" w:eastAsia="宋体" w:cs="宋体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宋体" w:hAnsi="宋体" w:eastAsia="宋体" w:cs="宋体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宋体" w:hAnsi="宋体" w:eastAsia="宋体" w:cs="宋体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宋体" w:hAnsi="宋体" w:eastAsia="宋体" w:cs="宋体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宋体" w:hAnsi="宋体" w:eastAsia="宋体" w:cs="宋体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宋体" w:hAnsi="宋体" w:eastAsia="宋体" w:cs="宋体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宋体" w:hAnsi="宋体" w:eastAsia="宋体" w:cs="宋体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宋体" w:hAnsi="宋体" w:eastAsia="宋体" w:cs="宋体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宋体" w:hAnsi="宋体" w:eastAsia="宋体" w:cs="宋体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宋体" w:hAnsi="宋体" w:eastAsia="宋体" w:cs="宋体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宋体" w:hAnsi="宋体" w:eastAsia="宋体" w:cs="宋体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宋体" w:hAnsi="宋体" w:eastAsia="宋体" w:cs="宋体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宋体" w:hAnsi="宋体" w:eastAsia="宋体" w:cs="宋体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宋体" w:hAnsi="宋体" w:eastAsia="宋体" w:cs="宋体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宋体" w:hAnsi="宋体" w:eastAsia="宋体" w:cs="宋体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宋体" w:hAnsi="宋体" w:eastAsia="宋体" w:cs="宋体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宋体" w:hAnsi="宋体" w:eastAsia="宋体" w:cs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宋体" w:hAnsi="宋体" w:eastAsia="宋体" w:cs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宋体" w:hAnsi="宋体" w:eastAsia="宋体" w:cs="宋体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宋体" w:hAnsi="宋体" w:eastAsia="宋体" w:cs="宋体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宋体" w:hAnsi="宋体" w:eastAsia="宋体" w:cs="宋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宋体" w:hAnsi="宋体" w:eastAsia="宋体" w:cs="宋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宋体" w:hAnsi="宋体" w:eastAsia="宋体" w:cs="宋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宋体" w:hAnsi="宋体" w:eastAsia="宋体" w:cs="宋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宋体" w:hAnsi="宋体" w:eastAsia="宋体" w:cs="宋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宋体" w:hAnsi="宋体" w:eastAsia="宋体" w:cs="宋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宋体" w:hAnsi="宋体" w:eastAsia="宋体" w:cs="宋体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宋体" w:hAnsi="宋体" w:eastAsia="宋体" w:cs="宋体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宋体" w:hAnsi="宋体" w:eastAsia="宋体" w:cs="宋体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宋体" w:hAnsi="宋体" w:eastAsia="宋体" w:cs="宋体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宋体" w:hAnsi="宋体" w:eastAsia="宋体" w:cs="宋体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宋体" w:hAnsi="宋体" w:eastAsia="宋体" w:cs="宋体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宋体" w:hAnsi="宋体" w:eastAsia="宋体" w:cs="宋体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宋体" w:hAnsi="宋体" w:eastAsia="宋体" w:cs="宋体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宋体" w:hAnsi="宋体" w:eastAsia="宋体" w:cs="宋体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宋体" w:hAnsi="宋体" w:eastAsia="宋体" w:cs="宋体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宋体" w:hAnsi="宋体" w:eastAsia="宋体" w:cs="宋体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rPr>
      <w:rFonts w:ascii="宋体" w:hAnsi="宋体" w:eastAsia="宋体" w:cs="宋体"/>
    </w:r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rPr>
      <w:rFonts w:ascii="宋体" w:hAnsi="宋体" w:eastAsia="宋体" w:cs="宋体"/>
    </w:r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rPr>
      <w:rFonts w:ascii="宋体" w:hAnsi="宋体" w:eastAsia="宋体" w:cs="宋体"/>
    </w:r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rPr>
      <w:rFonts w:ascii="宋体" w:hAnsi="宋体" w:eastAsia="宋体" w:cs="宋体"/>
    </w:r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rPr>
      <w:rFonts w:ascii="宋体" w:hAnsi="宋体" w:eastAsia="宋体" w:cs="宋体"/>
    </w:r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rPr>
      <w:rFonts w:ascii="宋体" w:hAnsi="宋体" w:eastAsia="宋体" w:cs="宋体"/>
    </w:r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rPr>
      <w:rFonts w:ascii="宋体" w:hAnsi="宋体" w:eastAsia="宋体" w:cs="宋体"/>
    </w:r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rPr>
      <w:rFonts w:ascii="宋体" w:hAnsi="宋体" w:eastAsia="宋体" w:cs="宋体"/>
    </w:r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rPr>
      <w:rFonts w:ascii="宋体" w:hAnsi="宋体" w:eastAsia="宋体" w:cs="宋体"/>
    </w:r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rPr>
      <w:rFonts w:ascii="宋体" w:hAnsi="宋体" w:eastAsia="宋体" w:cs="宋体"/>
    </w:r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rPr>
      <w:rFonts w:ascii="宋体" w:hAnsi="宋体" w:eastAsia="宋体" w:cs="宋体"/>
    </w:r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rPr>
      <w:rFonts w:ascii="宋体" w:hAnsi="宋体" w:eastAsia="宋体" w:cs="宋体"/>
    </w:r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rPr>
      <w:rFonts w:ascii="宋体" w:hAnsi="宋体" w:eastAsia="宋体" w:cs="宋体"/>
    </w:r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rPr>
      <w:rFonts w:ascii="宋体" w:hAnsi="宋体" w:eastAsia="宋体" w:cs="宋体"/>
    </w:r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rPr>
      <w:rFonts w:ascii="宋体" w:hAnsi="宋体" w:eastAsia="宋体" w:cs="宋体"/>
    </w:r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rPr>
      <w:rFonts w:ascii="宋体" w:hAnsi="宋体" w:eastAsia="宋体" w:cs="宋体"/>
    </w:r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rPr>
      <w:rFonts w:ascii="宋体" w:hAnsi="宋体" w:eastAsia="宋体" w:cs="宋体"/>
    </w:r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rPr>
      <w:rFonts w:ascii="宋体" w:hAnsi="宋体" w:eastAsia="宋体" w:cs="宋体"/>
    </w:r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rPr>
      <w:rFonts w:ascii="宋体" w:hAnsi="宋体" w:eastAsia="宋体" w:cs="宋体"/>
    </w:r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rPr>
      <w:rFonts w:ascii="宋体" w:hAnsi="宋体" w:eastAsia="宋体" w:cs="宋体"/>
    </w:r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rPr>
      <w:rFonts w:ascii="宋体" w:hAnsi="宋体" w:eastAsia="宋体" w:cs="宋体"/>
    </w:r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rPr>
      <w:rFonts w:ascii="宋体" w:hAnsi="宋体" w:eastAsia="宋体" w:cs="宋体"/>
    </w:r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  <w:rPr>
      <w:rFonts w:ascii="宋体" w:hAnsi="宋体" w:eastAsia="宋体" w:cs="宋体"/>
    </w:r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  <w:rPr>
      <w:rFonts w:ascii="宋体" w:hAnsi="宋体" w:eastAsia="宋体" w:cs="宋体"/>
    </w:r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  <w:rPr>
      <w:rFonts w:ascii="宋体" w:hAnsi="宋体" w:eastAsia="宋体" w:cs="宋体"/>
    </w:r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  <w:rPr>
      <w:rFonts w:ascii="宋体" w:hAnsi="宋体" w:eastAsia="宋体" w:cs="宋体"/>
    </w:r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  <w:rPr>
      <w:rFonts w:ascii="宋体" w:hAnsi="宋体" w:eastAsia="宋体" w:cs="宋体"/>
    </w:r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  <w:rPr>
      <w:rFonts w:ascii="宋体" w:hAnsi="宋体" w:eastAsia="宋体" w:cs="宋体"/>
    </w:r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  <w:rPr>
      <w:rFonts w:ascii="宋体" w:hAnsi="宋体" w:eastAsia="宋体" w:cs="宋体"/>
    </w:r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