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附件一：功能响应清单（V1.1）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V1.1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2026-04-20</w:t>
      </w:r>
    </w:p>
    <w:p>
      <w:r>
        <w:rPr>
          <w:rFonts w:ascii="宋体" w:hAnsi="宋体" w:eastAsia="宋体" w:cs="宋体"/>
          <w:b/>
          <w:sz w:val="28"/>
          <w:szCs w:val="28"/>
        </w:rPr>
        <w:t>编制单位：</w:t>
      </w:r>
      <w:r>
        <w:rPr>
          <w:rFonts w:ascii="宋体" w:hAnsi="宋体" w:eastAsia="宋体" w:cs="宋体"/>
          <w:sz w:val="28"/>
          <w:szCs w:val="28"/>
        </w:rPr>
        <w:t xml:space="preserve"> 阜矿集团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招标技术要求配套附件</w:t>
      </w:r>
    </w:p>
    <w:p>
      <w:r>
        <w:rPr>
          <w:rFonts w:ascii="宋体" w:hAnsi="宋体" w:eastAsia="宋体" w:cs="宋体"/>
          <w:b/>
          <w:sz w:val="28"/>
          <w:szCs w:val="28"/>
        </w:rPr>
        <w:t>对应正文：</w:t>
      </w:r>
      <w:r>
        <w:rPr>
          <w:rFonts w:ascii="宋体" w:hAnsi="宋体" w:eastAsia="宋体" w:cs="宋体"/>
          <w:sz w:val="28"/>
          <w:szCs w:val="28"/>
        </w:rPr>
        <w:t xml:space="preserve"> 《物资供应管理系统招标技术要求-V1.1》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一、使用说明</w:t>
      </w:r>
    </w:p>
    <w:p>
      <w:r>
        <w:rPr>
          <w:rFonts w:ascii="宋体" w:hAnsi="宋体" w:eastAsia="宋体" w:cs="宋体"/>
          <w:sz w:val="28"/>
          <w:szCs w:val="28"/>
        </w:rPr>
        <w:t>本清单用于投标方逐项响应《物资供应管理系统招标技术要求-V1.1》的功能、接口、AI、实施与验收要求。</w:t>
      </w:r>
    </w:p>
    <w:p>
      <w:r>
        <w:rPr>
          <w:rFonts w:ascii="宋体" w:hAnsi="宋体" w:eastAsia="宋体" w:cs="宋体"/>
          <w:sz w:val="28"/>
          <w:szCs w:val="28"/>
        </w:rPr>
        <w:t>投标方应逐项填写以下内容：</w:t>
      </w:r>
    </w:p>
    <w:p>
      <w:r>
        <w:rPr>
          <w:rFonts w:ascii="宋体" w:hAnsi="宋体" w:eastAsia="宋体" w:cs="宋体"/>
          <w:sz w:val="28"/>
          <w:szCs w:val="28"/>
        </w:rPr>
        <w:t>- `响应结论`：完全满足 / 部分满足 / 不满足</w:t>
      </w:r>
    </w:p>
    <w:p>
      <w:r>
        <w:rPr>
          <w:rFonts w:ascii="宋体" w:hAnsi="宋体" w:eastAsia="宋体" w:cs="宋体"/>
          <w:sz w:val="28"/>
          <w:szCs w:val="28"/>
        </w:rPr>
        <w:t>- `实现方式`：标准产品 / 参数配置 / 定制开发 / 第三方集成</w:t>
      </w:r>
    </w:p>
    <w:p>
      <w:r>
        <w:rPr>
          <w:rFonts w:ascii="宋体" w:hAnsi="宋体" w:eastAsia="宋体" w:cs="宋体"/>
          <w:sz w:val="28"/>
          <w:szCs w:val="28"/>
        </w:rPr>
        <w:t>- `响应说明`：说明实现路径、限制条件、前置假设</w:t>
      </w:r>
    </w:p>
    <w:p>
      <w:r>
        <w:rPr>
          <w:rFonts w:ascii="宋体" w:hAnsi="宋体" w:eastAsia="宋体" w:cs="宋体"/>
          <w:sz w:val="28"/>
          <w:szCs w:val="28"/>
        </w:rPr>
        <w:t>- `偏差说明`：如与招标要求存在差异，应逐项列明</w:t>
      </w:r>
    </w:p>
    <w:p>
      <w:r>
        <w:rPr>
          <w:rFonts w:ascii="宋体" w:hAnsi="宋体" w:eastAsia="宋体" w:cs="宋体"/>
          <w:sz w:val="28"/>
          <w:szCs w:val="28"/>
        </w:rPr>
        <w:t>未填写项视为未响应。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二、功能响应清单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序号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章节/模块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功能点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招标要求摘要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响应结论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实现方式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响应说明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偏差说明</w:t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基础档案与组织仓库管理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基础档案管理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组织、仓库、单位、供应商、成本中心等基础数据统一管理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物料主数据与编码管理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主数据与编码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一物一码、分类属性、批次/保质期、NC映射、条码支持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2.1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物料主数据与编码管理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归类裁决规则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按附件六 §5.16 五级优先级（专业管控→终端用途→主要功能→整机/部件→物料形态）统一归类；系统提供大类自动推荐、跨类申报提示、归类评审流程与案例库维护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2.2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物料主数据与编码管理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多维分类能力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material_tag 结构，支持财务/专业（采掘运提通机洗辅）/行业（MT/T 1090 等）/自定义等多维度；运行态扩展；按任一维度聚合统计与一致性校验（附件六 §11.5）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需求提报与采购计划管理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计划闭环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需求提报、汇总去重、计划审批、任务下达、执行跟踪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招采协同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采购文件生成/导出上传、平台评标、结果回传归档、合同联动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4.1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三路径分流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 / 满足招标条件但走非招标 / 不满足招标条件的公开询比，按采购方式配置差异化审批链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4.2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金额阈值审批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非招标金额 &gt; 100 万元触发集团分管领导签字；审批流支持按金额阈值分派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4.3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涉安标审批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招标路径生产技术部与安监部分别审批；非招标路径两者一同审批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4.4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不足三家处置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不足三家处置单、二次/三次公示、供应链管理委员会决议留痕，支持调整方式或转非招标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4.5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询比分流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公开询比公示期 5 天；二次公示后 2 家转竞价、1 家转直采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4.6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评标辅助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评标专家抽取（默认 5 名）辅助登记、评标结果登记、中标通知书发布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采购到货与入库管理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到货入库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到货登记、验收、质检、入库、退货、暂估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5.1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采购到货与入库管理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设备双验收单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大型设备执行《设备直达到货验收单》与《设备安装调试完好联合验收单》双验收；两份单据分别触发挂账与付款节点，单据编号与合同、PO 强关联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5.2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采购到货与入库管理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验收联签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双验收单需使用部门、物资公司、生产技术、安监（如涉安标）联合签署；支持电子签章与纸质扫描归档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6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库存领用与退料调拨管理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库存流转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领料、退料、调拨、成本归集、权属与保管分离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7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盘点与废旧处置管理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盘点处置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盘点差异处理、废旧认定、处置、销毁留痕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8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设备基础增强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权属审批、来源关联、状态管理、跨组织调拨、检修轻量闭环、报废处置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设备租赁管理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租赁闭环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租赁申请、起租、在租、续租停租退租、费用汇总、付款联动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10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审批会签、履行跟踪、付款条款定义、风险点管理、变更留痕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10.1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30 日签订预警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以中标/成交通知书日期为 T0，T+15/T+25/T+30 分级提醒；超期自动标记风险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10.2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金额阈值审批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 &gt; 20 万元自动加签物资公司经理；集团审批按法务→财务→经发→审计→分管领导流转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10.3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履约保证金跟踪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保证金收取登记、退还触发、与挂账联动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11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资金计划管理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付款执行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付款计划、月度预支付汇总、付款申请审批、结果回写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11.1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资金计划管理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双验收前置校验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大型设备付款前置校验：挂账以《设备直达到货验收单》为触发；付款以《设备安装调试完好联合验收单》为触发；质量问题按合同条款自动扣款或延付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11.2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资金计划管理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付款条款执行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系统按合同付款比例（预付/进度/质保）拆分付款计划，缺失验收单据时阻断付款申请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12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分类准入、资质提醒、考评、黑名单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13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财务与NC接口管理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财务接口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29项接口、委托加工触发、异常重推、对账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14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报表预警与查询分析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报表预警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基础报表、设备租赁费用汇总、到期/超期/异常预警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15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系统管理与基础支撑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系统支撑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权限、审批流、日志、通知、多端协同、电子签章衔接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16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AI接入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统一AI入口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本次必做；按统一AI入口接入，不得另建独立AI门户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17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AI接入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AI能力开放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至少支持库存、出入库、采购到货、供应商、领用消耗、预警、合同付款、设备租赁查询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18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数据迁移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初始化与迁移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主数据治理、NC映射初始化、期初导入、并行核对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19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实施交付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实施与培训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深化设计、培训、试运行、驻场支持、运行保障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20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验收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功能/接口/AI验收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核心流程闭环、接口联调、AI接入、文档交付</w:t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3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三、偏差汇总表</w:t>
      </w:r>
    </w:p>
    <w:p>
      <w:r>
        <w:rPr>
          <w:rFonts w:ascii="宋体" w:hAnsi="宋体" w:eastAsia="宋体" w:cs="宋体"/>
          <w:sz w:val="28"/>
          <w:szCs w:val="28"/>
        </w:rPr>
        <w:t>投标方应集中列示所有未满足项、部分满足项和替代实现方案。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序号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对应条款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偏差类型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偏差说明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影响范围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替代方案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四、投标方确认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投标方名称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响应文件版本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项目负责人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联系方式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