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附件三：角色权限矩阵（V1.1）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V1.1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编制单位：</w:t>
      </w:r>
      <w:r>
        <w:rPr>
          <w:rFonts w:ascii="宋体" w:hAnsi="宋体" w:eastAsia="宋体" w:cs="宋体"/>
          <w:sz w:val="28"/>
          <w:szCs w:val="28"/>
        </w:rPr>
        <w:t xml:space="preserve"> 阜矿集团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招标技术要求配套附件</w:t>
      </w:r>
    </w:p>
    <w:p>
      <w:r>
        <w:rPr>
          <w:rFonts w:ascii="宋体" w:hAnsi="宋体" w:eastAsia="宋体" w:cs="宋体"/>
          <w:b/>
          <w:sz w:val="28"/>
          <w:szCs w:val="28"/>
        </w:rPr>
        <w:t>对应正文：</w:t>
      </w:r>
      <w:r>
        <w:rPr>
          <w:rFonts w:ascii="宋体" w:hAnsi="宋体" w:eastAsia="宋体" w:cs="宋体"/>
          <w:sz w:val="28"/>
          <w:szCs w:val="28"/>
        </w:rPr>
        <w:t xml:space="preserve"> 《物资供应管理系统招标技术要求-V1.1》第八章、第十四章 14.1 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一、附件说明</w:t>
      </w:r>
    </w:p>
    <w:p>
      <w:r>
        <w:rPr>
          <w:rFonts w:ascii="宋体" w:hAnsi="宋体" w:eastAsia="宋体" w:cs="宋体"/>
          <w:sz w:val="28"/>
          <w:szCs w:val="28"/>
        </w:rPr>
        <w:t>本附件明确物资供应管理系统一期的角色定义、权限矩阵、审批矩阵、高敏感场景控制要求，以及与集团统一平台（Nova Platform）的身份、组织和审批对接要求，作为投标方进行权限模型设计、流程引擎选型、工作量评估和上线后配置的统一依据。</w:t>
      </w:r>
    </w:p>
    <w:p>
      <w:r>
        <w:rPr>
          <w:rFonts w:ascii="宋体" w:hAnsi="宋体" w:eastAsia="宋体" w:cs="宋体"/>
          <w:sz w:val="28"/>
          <w:szCs w:val="28"/>
        </w:rPr>
        <w:t>本附件所列矩阵为一期建设的最小要求，实施阶段可根据管理需要进一步细化；投标方须证明系统具备承载以下角色、权限和审批结构的能力，不得以"本产品仅支持固定角色模型"为由偏离本附件要求。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二、权限设计基本原则</w:t>
      </w:r>
    </w:p>
    <w:p>
      <w:r>
        <w:rPr>
          <w:rFonts w:ascii="宋体" w:hAnsi="宋体" w:eastAsia="宋体" w:cs="宋体"/>
          <w:sz w:val="28"/>
          <w:szCs w:val="28"/>
        </w:rPr>
        <w:t>一期权限与审批设计须遵循以下原则：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职责分离原则</w:t>
      </w:r>
      <w:r>
        <w:rPr>
          <w:rFonts w:ascii="宋体" w:hAnsi="宋体" w:eastAsia="宋体" w:cs="宋体"/>
          <w:sz w:val="28"/>
          <w:szCs w:val="28"/>
        </w:rPr>
        <w:t>：发起、审核、执行、复核、财务处理等关键环节不得由同一人包办，防止内控风险。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分级授权原则</w:t>
      </w:r>
      <w:r>
        <w:rPr>
          <w:rFonts w:ascii="宋体" w:hAnsi="宋体" w:eastAsia="宋体" w:cs="宋体"/>
          <w:sz w:val="28"/>
          <w:szCs w:val="28"/>
        </w:rPr>
        <w:t>：集团、矿厂、仓库、使用单位按照组织层级和职责范围授予不同权限，不允许"一把钥匙开所有门"。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数据归属原则</w:t>
      </w:r>
      <w:r>
        <w:rPr>
          <w:rFonts w:ascii="宋体" w:hAnsi="宋体" w:eastAsia="宋体" w:cs="宋体"/>
          <w:sz w:val="28"/>
          <w:szCs w:val="28"/>
        </w:rPr>
        <w:t>：各角色默认只能查看其职责范围内的数据；集团管理角色可按授权查看汇总数据。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特殊业务加强控制原则</w:t>
      </w:r>
      <w:r>
        <w:rPr>
          <w:rFonts w:ascii="宋体" w:hAnsi="宋体" w:eastAsia="宋体" w:cs="宋体"/>
          <w:sz w:val="28"/>
          <w:szCs w:val="28"/>
        </w:rPr>
        <w:t>：火工品、危险品、盘亏、废旧处置、跨组织调拨、月结反结等场景应设置更严格的审批门槛。</w:t>
      </w:r>
    </w:p>
    <w:p>
      <w:r>
        <w:rPr>
          <w:rFonts w:ascii="宋体" w:hAnsi="宋体" w:eastAsia="宋体" w:cs="宋体"/>
          <w:sz w:val="28"/>
          <w:szCs w:val="28"/>
        </w:rPr>
        <w:t xml:space="preserve">5. </w:t>
      </w:r>
      <w:r>
        <w:rPr>
          <w:rFonts w:ascii="宋体" w:hAnsi="宋体" w:eastAsia="宋体" w:cs="宋体"/>
          <w:b/>
          <w:sz w:val="28"/>
          <w:szCs w:val="28"/>
        </w:rPr>
        <w:t>留痕审计原则</w:t>
      </w:r>
      <w:r>
        <w:rPr>
          <w:rFonts w:ascii="宋体" w:hAnsi="宋体" w:eastAsia="宋体" w:cs="宋体"/>
          <w:sz w:val="28"/>
          <w:szCs w:val="28"/>
        </w:rPr>
        <w:t>：所有关键操作、审批、驳回、作废、重推、反结等动作均须保留完整日志，支持事后追溯。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三、一期主要角色</w:t>
      </w:r>
    </w:p>
    <w:p>
      <w:r>
        <w:rPr>
          <w:rFonts w:ascii="宋体" w:hAnsi="宋体" w:eastAsia="宋体" w:cs="宋体"/>
          <w:sz w:val="28"/>
          <w:szCs w:val="28"/>
        </w:rPr>
        <w:t>一期至少应支持以下 11 类角色；实施阶段可进一步细分"审批人""复核人""接口管理员""审计查询角色"等更细粒度角色。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序号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角色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权限特点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集团领导/管理层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查看集团层面库存、采购、消耗、盘点、呆滞汇总信息；关注专项物资和重大异常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只读查询为主，查看汇总报表、看板、重大异常台账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网信办/信息化管理角色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统筹系统建设要求和实施边界；管控接口建设、主数据治理和实施配置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查看全局配置和接口状态、关键流程配置和日志；参与参数、接口、权限规则管理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集团物资管理角色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统一物料分类、编码和主数据标准；审核重要采购计划并平衡集团层面需求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查看集团范围物资主数据和业务台账；审核重要主数据、集团层面采购计划；复核或升级审批重大异常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各矿物资管理角色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负责本单位物资业务管理与审核；协调采购、仓储、使用单位之间的流程执行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查看本单位业务数据；汇总需求、编制采购计划并跟踪执行；审核物料/领料/调拨/盘点差异/废旧处置申请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执行到货验收、入库、出库、退料、调拨、盘点等仓储操作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处理本仓库出入库业务；登记验收、入库、发料、退料、盘点结果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使用单位/区队申请人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提出物料新增、需求提报、领料、退料等业务需求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发起申请类单据；查看本人或本单位相关申请状态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承接采购计划分解任务，处理采购申请、订单和供应商协同事项；发起付款申请并跟踪支付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查看采购相关单据和供应商信息；处理采购订单、退货协同；发起付款申请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质检人员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对需要质检的物资进行检验；出具合格、不合格或让步接收意见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查看待检物资信息；登记质检结果；对不合格物资提出处理意见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财务人员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确认成本中心、会计口径和对账规则；审核付款申请；参与月结、暂估、差异处理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查看财务触发类业务单据；处理对账、差异、暂估、接口结果；审核涉及财务政策的关键事项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安全部门角色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参与火工品、危险品和安全专项物资的规则确认与业务审核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查看特殊物资台账；审核特殊物资申请和处置事项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系统管理员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账号、角色、参数、流程、日志等系统级管理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用户与角色管理；参数配置；流程配置；日志与状态监控；不直接代替业务人员处理业务事实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四、角色权限矩阵</w:t>
      </w:r>
    </w:p>
    <w:p>
      <w:r>
        <w:rPr>
          <w:rFonts w:ascii="宋体" w:hAnsi="宋体" w:eastAsia="宋体" w:cs="宋体"/>
          <w:sz w:val="28"/>
          <w:szCs w:val="28"/>
        </w:rPr>
        <w:t>说明：矩阵中"√"表示具备主要权限，"○"表示按授权可查看或参与，"-"表示通常不具备该项权限。一期投标方须证明系统可承载本矩阵并支持后续细化。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功能/角色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集团领导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网信办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查看集团汇总报表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查看本单位业务数据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维护组织/仓库档案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维护物料分类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发起物料新增申请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审核物料新增/停用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 NC 映射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发起物资需求提报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汇总需求/编制采购计划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审批采购计划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查看计划执行情况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发起采购申请/订单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到货验收/入库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质检结果登记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采购退货处理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发起领料申请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审核领料申请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执行领料出库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退料入库处理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调拨申请与审核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盘点执行与录入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盘盈盘亏审批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废旧处置审批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设备建档与状态管理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设备权属变更审批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跨组织设备调拨审批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设备租赁申请/起租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设备租赁费用汇总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合同登记与编制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合同审批会签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合同变更/终止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查看合同台账/进度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查看月度预支付汇总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发起付款申请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审批付款申请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查看付款台账/支付进度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维护供应商档案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供应商分类/准入管理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供应商考评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供应商黑名单管理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查看接口日志/失败信息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执行接口重推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月结/反结确认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</w:tr>
      <w:tr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用户、角色、流程配置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○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9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√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五、业务审批矩阵</w:t>
      </w:r>
    </w:p>
    <w:p>
      <w:r>
        <w:rPr>
          <w:rFonts w:ascii="宋体" w:hAnsi="宋体" w:eastAsia="宋体" w:cs="宋体"/>
          <w:sz w:val="28"/>
          <w:szCs w:val="28"/>
        </w:rPr>
        <w:t>以下为一期主要业务场景的审批责任分工，用于流程引擎配置和制度对齐。投标方须证明系统可按此矩阵配置多级审批流。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业务事项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发起角色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一级审核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二级审核/复核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执行角色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财务/专项参与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物料新增申请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集团物资管理（关键物料）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主数据管理员/系统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财务可参与映射确认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物料停用申请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视情况管理层确认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财务确认是否影响接口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物资需求提报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使用单位/区队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部门负责人/各矿物资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各矿物资管理汇总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采购计划审批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重大计划升级管理层审批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采购人员（分解执行）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财务参与预算确认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采购申请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使用单位/采购人员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按金额/事项升级审批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招投标立项与采购方式确认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管理层按金额/类别审批；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涉安标项目：招标路径生产技术部与安监部分别审批、非招标路径一同审批</w:t>
            </w:r>
            <w:r>
              <w:rPr>
                <w:rFonts w:ascii="宋体" w:hAnsi="宋体" w:eastAsia="宋体" w:cs="宋体"/>
                <w:sz w:val="28"/>
                <w:szCs w:val="28"/>
              </w:rPr>
              <w:t>；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非招标金额 &gt; 100 万元须集团分管领导签字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财务、法务按需参与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不足三家处置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二次仍不足三家提报集团供应链管理委员会决议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采购人员/招投标管理中心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评标结果与中标通知书归档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到货验收/采购入库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质检复核（需质检时）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财务后续查看接口结果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采购退货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仓库/采购/质检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财务关注跨期/已结账场景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财务参与红冲确认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领料申请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部门负责人/各矿物资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重大/特殊领料升级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财务关注成本中心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应急直发补单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仓库管理员/使用单位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视金额和物资类型升级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财务可事后核查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退料入库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必要时业务部门确认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财务关注冲销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调拨申请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各矿物资/仓库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跨组织时集团层/财务确认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财务参与跨组织确认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盘点任务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单位负责人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仓库/盘点人员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财务可参与抽查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盘盈盘亏处理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 + 领导审批（超阈值）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财务须参与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废旧认定与处置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仓库/业务单位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财务/安全/领导按类型参与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财务、安全按需参与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火工品/危险品业务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使用单位/仓库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安全部门 + 领导审批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安全部门重点参与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设备建档与投用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各矿物资/使用单位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集团物资管理（重要设备）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设备权属变更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管理层按权属层级审批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财务关注资产留痕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跨组织设备调拨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各矿物资/仓库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 + 财务确认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设备报废处置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管理层审批；涉关联资产须财务/资产留痕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仓库管理员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设备租赁申请与起租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各矿物资/使用单位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集团物资管理/财务按金额阈值审批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采购人员/合同管理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财务参与付款联动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合同审批会签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按金额/类别分级：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物资公司内部为"业务员→中心主任→合同审核员→财务审核员→企划主任→分管经理→总会计师"，合同 &gt; 20 万元加签物资公司经理</w:t>
            </w:r>
            <w:r>
              <w:rPr>
                <w:rFonts w:ascii="宋体" w:hAnsi="宋体" w:eastAsia="宋体" w:cs="宋体"/>
                <w:sz w:val="28"/>
                <w:szCs w:val="28"/>
              </w:rPr>
              <w:t xml:space="preserve">；集团层"法务→财务→经发→招标合同审计员→分管领导"；中标/成交后 </w:t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30 日内</w:t>
            </w:r>
            <w:r>
              <w:rPr>
                <w:rFonts w:ascii="宋体" w:hAnsi="宋体" w:eastAsia="宋体" w:cs="宋体"/>
                <w:sz w:val="28"/>
                <w:szCs w:val="28"/>
              </w:rPr>
              <w:t>完成签订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财务参与会签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合同变更/终止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视变更影响升级审批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财务可参与确认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付款计划调整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财务复核；重大调整升级审批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系统按规则更新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财务参与确认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付款申请审批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财务负责人复核；超阈值升级管理层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财务在 NC 执行支付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财务须参与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供应商准入/分类变更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采购人员/各矿物资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必要时管理层确认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采购人员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供应商黑名单列入/解除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各矿物资管理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集团物资管理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管理层确认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系统管理员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-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月结确认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物资管理/财务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财务负责人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管理层按制度确认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系统状态确认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财务须参与</w:t>
            </w:r>
          </w:p>
        </w:tc>
      </w:tr>
      <w:tr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反结/补录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财务/网信办申请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财务负责人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管理层严格审批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系统管理员配合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 + 信息化共同参与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六、高敏感场景控制要求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火工品、危险品</w:t>
      </w:r>
    </w:p>
    <w:p>
      <w:r>
        <w:rPr>
          <w:rFonts w:ascii="宋体" w:hAnsi="宋体" w:eastAsia="宋体" w:cs="宋体"/>
          <w:sz w:val="28"/>
          <w:szCs w:val="28"/>
        </w:rPr>
        <w:t>须设置高于普通物资的审批强度：</w:t>
      </w:r>
    </w:p>
    <w:p>
      <w:r>
        <w:rPr>
          <w:rFonts w:ascii="宋体" w:hAnsi="宋体" w:eastAsia="宋体" w:cs="宋体"/>
          <w:sz w:val="28"/>
          <w:szCs w:val="28"/>
        </w:rPr>
        <w:t>- 发起环节须独立授权，非授权用户不得发起</w:t>
      </w:r>
    </w:p>
    <w:p>
      <w:r>
        <w:rPr>
          <w:rFonts w:ascii="宋体" w:hAnsi="宋体" w:eastAsia="宋体" w:cs="宋体"/>
          <w:sz w:val="28"/>
          <w:szCs w:val="28"/>
        </w:rPr>
        <w:t>- 审批链路至少包含业务和安全两个维度</w:t>
      </w:r>
    </w:p>
    <w:p>
      <w:r>
        <w:rPr>
          <w:rFonts w:ascii="宋体" w:hAnsi="宋体" w:eastAsia="宋体" w:cs="宋体"/>
          <w:sz w:val="28"/>
          <w:szCs w:val="28"/>
        </w:rPr>
        <w:t>- 必须完整留痕</w:t>
      </w:r>
    </w:p>
    <w:p>
      <w:r>
        <w:rPr>
          <w:rFonts w:ascii="宋体" w:hAnsi="宋体" w:eastAsia="宋体" w:cs="宋体"/>
          <w:sz w:val="28"/>
          <w:szCs w:val="28"/>
        </w:rPr>
        <w:t>- 库存、出库、销毁均须形成专项台账，支持独立查询和审计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盘亏、报废、销毁</w:t>
      </w:r>
    </w:p>
    <w:p>
      <w:r>
        <w:rPr>
          <w:rFonts w:ascii="宋体" w:hAnsi="宋体" w:eastAsia="宋体" w:cs="宋体"/>
          <w:sz w:val="28"/>
          <w:szCs w:val="28"/>
        </w:rPr>
        <w:t>按金额和物资类别分级审批：</w:t>
      </w:r>
    </w:p>
    <w:p>
      <w:r>
        <w:rPr>
          <w:rFonts w:ascii="宋体" w:hAnsi="宋体" w:eastAsia="宋体" w:cs="宋体"/>
          <w:sz w:val="28"/>
          <w:szCs w:val="28"/>
        </w:rPr>
        <w:t>- 小额普通物资可由单位内审批</w:t>
      </w:r>
    </w:p>
    <w:p>
      <w:r>
        <w:rPr>
          <w:rFonts w:ascii="宋体" w:hAnsi="宋体" w:eastAsia="宋体" w:cs="宋体"/>
          <w:sz w:val="28"/>
          <w:szCs w:val="28"/>
        </w:rPr>
        <w:t>- 金额较大或特殊物资应升级至集团或相关分管领导</w:t>
      </w:r>
    </w:p>
    <w:p>
      <w:r>
        <w:rPr>
          <w:rFonts w:ascii="宋体" w:hAnsi="宋体" w:eastAsia="宋体" w:cs="宋体"/>
          <w:sz w:val="28"/>
          <w:szCs w:val="28"/>
        </w:rPr>
        <w:t>- 财务须参与盘亏与处置类关键审批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6.3 月结、反结、补录</w:t>
      </w:r>
    </w:p>
    <w:p>
      <w:r>
        <w:rPr>
          <w:rFonts w:ascii="宋体" w:hAnsi="宋体" w:eastAsia="宋体" w:cs="宋体"/>
          <w:sz w:val="28"/>
          <w:szCs w:val="28"/>
        </w:rPr>
        <w:t>须作为高敏感权限场景控制：</w:t>
      </w:r>
    </w:p>
    <w:p>
      <w:r>
        <w:rPr>
          <w:rFonts w:ascii="宋体" w:hAnsi="宋体" w:eastAsia="宋体" w:cs="宋体"/>
          <w:sz w:val="28"/>
          <w:szCs w:val="28"/>
        </w:rPr>
        <w:t>- 不得默认开放给普通业务角色</w:t>
      </w:r>
    </w:p>
    <w:p>
      <w:r>
        <w:rPr>
          <w:rFonts w:ascii="宋体" w:hAnsi="宋体" w:eastAsia="宋体" w:cs="宋体"/>
          <w:sz w:val="28"/>
          <w:szCs w:val="28"/>
        </w:rPr>
        <w:t>- 必须具备申请、审批和完整日志</w:t>
      </w:r>
    </w:p>
    <w:p>
      <w:r>
        <w:rPr>
          <w:rFonts w:ascii="宋体" w:hAnsi="宋体" w:eastAsia="宋体" w:cs="宋体"/>
          <w:sz w:val="28"/>
          <w:szCs w:val="28"/>
        </w:rPr>
        <w:t>- 操作后须保留前后状态和原因说明，支持审计回放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七、与集团统一平台（Nova Platform）的对接要求</w:t>
      </w:r>
    </w:p>
    <w:p>
      <w:r>
        <w:rPr>
          <w:rFonts w:ascii="宋体" w:hAnsi="宋体" w:eastAsia="宋体" w:cs="宋体"/>
          <w:sz w:val="28"/>
          <w:szCs w:val="28"/>
        </w:rPr>
        <w:t>本系统权限与审批设计须与集团统一平台对接，具体要求如下：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统一登录与身份认证</w:t>
      </w:r>
    </w:p>
    <w:p>
      <w:r>
        <w:rPr>
          <w:rFonts w:ascii="宋体" w:hAnsi="宋体" w:eastAsia="宋体" w:cs="宋体"/>
          <w:sz w:val="28"/>
          <w:szCs w:val="28"/>
        </w:rPr>
        <w:t>- 须对接集团统一平台 SSO（单点登录）服务，不另行建设独立用户认证体系</w:t>
      </w:r>
    </w:p>
    <w:p>
      <w:r>
        <w:rPr>
          <w:rFonts w:ascii="宋体" w:hAnsi="宋体" w:eastAsia="宋体" w:cs="宋体"/>
          <w:sz w:val="28"/>
          <w:szCs w:val="28"/>
        </w:rPr>
        <w:t>- 用户基础身份信息通过平台 API 获取，本系统可保留本地同步副本，权威源在平台侧</w:t>
      </w:r>
    </w:p>
    <w:p>
      <w:r>
        <w:rPr>
          <w:rFonts w:ascii="宋体" w:hAnsi="宋体" w:eastAsia="宋体" w:cs="宋体"/>
          <w:sz w:val="28"/>
          <w:szCs w:val="28"/>
        </w:rPr>
        <w:t>- 人员入职、离职、调岗须通过平台 API 同步更新，系统权限及时联动</w:t>
      </w:r>
    </w:p>
    <w:p>
      <w:r>
        <w:rPr>
          <w:rFonts w:ascii="宋体" w:hAnsi="宋体" w:eastAsia="宋体" w:cs="宋体"/>
          <w:sz w:val="28"/>
          <w:szCs w:val="28"/>
        </w:rPr>
        <w:t>- 离岗、离职、停用人员须具备及时禁用和权限收回机制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组织与人员数据</w:t>
      </w:r>
    </w:p>
    <w:p>
      <w:r>
        <w:rPr>
          <w:rFonts w:ascii="宋体" w:hAnsi="宋体" w:eastAsia="宋体" w:cs="宋体"/>
          <w:sz w:val="28"/>
          <w:szCs w:val="28"/>
        </w:rPr>
        <w:t>- 组织架构和人员信息通过集团统一平台 API 获取并本地同步</w:t>
      </w:r>
    </w:p>
    <w:p>
      <w:r>
        <w:rPr>
          <w:rFonts w:ascii="宋体" w:hAnsi="宋体" w:eastAsia="宋体" w:cs="宋体"/>
          <w:sz w:val="28"/>
          <w:szCs w:val="28"/>
        </w:rPr>
        <w:t>- 物资系统拥有独立数据库，组织和人员数据以本地副本形式存储，用于业务关联查询</w:t>
      </w:r>
    </w:p>
    <w:p>
      <w:r>
        <w:rPr>
          <w:rFonts w:ascii="宋体" w:hAnsi="宋体" w:eastAsia="宋体" w:cs="宋体"/>
          <w:sz w:val="28"/>
          <w:szCs w:val="28"/>
        </w:rPr>
        <w:t>- 权威来源为集团统一平台，物资系统不作为组织和人员的权威维护方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7.3 数据权限</w:t>
      </w:r>
    </w:p>
    <w:p>
      <w:r>
        <w:rPr>
          <w:rFonts w:ascii="宋体" w:hAnsi="宋体" w:eastAsia="宋体" w:cs="宋体"/>
          <w:sz w:val="28"/>
          <w:szCs w:val="28"/>
        </w:rPr>
        <w:t>- 物资系统内部自行实现数据范围控制（按组织、仓库、角色划分）</w:t>
      </w:r>
    </w:p>
    <w:p>
      <w:r>
        <w:rPr>
          <w:rFonts w:ascii="宋体" w:hAnsi="宋体" w:eastAsia="宋体" w:cs="宋体"/>
          <w:sz w:val="28"/>
          <w:szCs w:val="28"/>
        </w:rPr>
        <w:t>- 数据隔离粒度须与集团平台一致，以二级集团为数据隔离边界</w:t>
      </w:r>
    </w:p>
    <w:p>
      <w:r>
        <w:rPr>
          <w:rFonts w:ascii="宋体" w:hAnsi="宋体" w:eastAsia="宋体" w:cs="宋体"/>
          <w:sz w:val="28"/>
          <w:szCs w:val="28"/>
        </w:rPr>
        <w:t>- 物资系统业务角色和业务权限由本系统自行维护，但组织层级结构须与平台保持同步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7.4 审批流程</w:t>
      </w:r>
    </w:p>
    <w:p>
      <w:r>
        <w:rPr>
          <w:rFonts w:ascii="宋体" w:hAnsi="宋体" w:eastAsia="宋体" w:cs="宋体"/>
          <w:sz w:val="28"/>
          <w:szCs w:val="28"/>
        </w:rPr>
        <w:t>- 物资系统须自带审批引擎，能够承载本附件第五章的审批矩阵</w:t>
      </w:r>
    </w:p>
    <w:p>
      <w:r>
        <w:rPr>
          <w:rFonts w:ascii="宋体" w:hAnsi="宋体" w:eastAsia="宋体" w:cs="宋体"/>
          <w:sz w:val="28"/>
          <w:szCs w:val="28"/>
        </w:rPr>
        <w:t>- 审批人的组织角色解析须与集团平台体系兼容：可通过平台 API 获取审批人信息，或按等效规则（角色 + 组织过滤 + 层级递进）自行实现</w:t>
      </w:r>
    </w:p>
    <w:p>
      <w:r>
        <w:rPr>
          <w:rFonts w:ascii="宋体" w:hAnsi="宋体" w:eastAsia="宋体" w:cs="宋体"/>
          <w:sz w:val="28"/>
          <w:szCs w:val="28"/>
        </w:rPr>
        <w:t>- 审批过程和结果须完整留痕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八、投标方响应要求</w:t>
      </w:r>
    </w:p>
    <w:p>
      <w:r>
        <w:rPr>
          <w:rFonts w:ascii="宋体" w:hAnsi="宋体" w:eastAsia="宋体" w:cs="宋体"/>
          <w:sz w:val="28"/>
          <w:szCs w:val="28"/>
        </w:rPr>
        <w:t>投标方应在技术响应文件中明确回应以下内容：</w:t>
      </w:r>
    </w:p>
    <w:p>
      <w:r>
        <w:rPr>
          <w:rFonts w:ascii="宋体" w:hAnsi="宋体" w:eastAsia="宋体" w:cs="宋体"/>
          <w:sz w:val="28"/>
          <w:szCs w:val="28"/>
        </w:rPr>
        <w:t>1. 系统如何承载本附件第三、四、五章所列 11 类角色、40+ 权限条目和 30+ 审批事项</w:t>
      </w:r>
    </w:p>
    <w:p>
      <w:r>
        <w:rPr>
          <w:rFonts w:ascii="宋体" w:hAnsi="宋体" w:eastAsia="宋体" w:cs="宋体"/>
          <w:sz w:val="28"/>
          <w:szCs w:val="28"/>
        </w:rPr>
        <w:t>2. 审批引擎的实现方式（自研/开源/商用）、与 Nova Platform 的对接路径</w:t>
      </w:r>
    </w:p>
    <w:p>
      <w:r>
        <w:rPr>
          <w:rFonts w:ascii="宋体" w:hAnsi="宋体" w:eastAsia="宋体" w:cs="宋体"/>
          <w:sz w:val="28"/>
          <w:szCs w:val="28"/>
        </w:rPr>
        <w:t>3. 系统对"职责分离""分级授权""数据归属""特殊业务加强控制""留痕审计"5 项原则的支撑方式</w:t>
      </w:r>
    </w:p>
    <w:p>
      <w:r>
        <w:rPr>
          <w:rFonts w:ascii="宋体" w:hAnsi="宋体" w:eastAsia="宋体" w:cs="宋体"/>
          <w:sz w:val="28"/>
          <w:szCs w:val="28"/>
        </w:rPr>
        <w:t>4. 高敏感场景（火工品/月结反结）的实现方式和审计日志内容</w:t>
      </w:r>
    </w:p>
    <w:p>
      <w:r>
        <w:rPr>
          <w:rFonts w:ascii="宋体" w:hAnsi="宋体" w:eastAsia="宋体" w:cs="宋体"/>
          <w:sz w:val="28"/>
          <w:szCs w:val="28"/>
        </w:rPr>
        <w:t>5. 与 Nova Platform SSO、组织人员数据、数据权限、审批兼容的具体对接方案</w:t>
      </w:r>
    </w:p>
    <w:p>
      <w:r>
        <w:rPr>
          <w:rFonts w:ascii="宋体" w:hAnsi="宋体" w:eastAsia="宋体" w:cs="宋体"/>
          <w:sz w:val="28"/>
          <w:szCs w:val="28"/>
        </w:rPr>
        <w:t>6. 权限配置的可扩展能力（支持实施阶段进一步细化组织范围、仓库范围、审批额度、特殊物资专项等维度）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附：后续实施阶段可细化的权限维度</w:t>
      </w:r>
    </w:p>
    <w:p>
      <w:r>
        <w:rPr>
          <w:rFonts w:ascii="宋体" w:hAnsi="宋体" w:eastAsia="宋体" w:cs="宋体"/>
          <w:sz w:val="28"/>
          <w:szCs w:val="28"/>
        </w:rPr>
        <w:t>本附件所列矩阵为一期最小要求。进入实施配置阶段后，权限可进一步细化为以下维度：</w:t>
      </w:r>
    </w:p>
    <w:p>
      <w:r>
        <w:rPr>
          <w:rFonts w:ascii="宋体" w:hAnsi="宋体" w:eastAsia="宋体" w:cs="宋体"/>
          <w:sz w:val="28"/>
          <w:szCs w:val="28"/>
        </w:rPr>
        <w:t>- 组织范围权限</w:t>
      </w:r>
    </w:p>
    <w:p>
      <w:r>
        <w:rPr>
          <w:rFonts w:ascii="宋体" w:hAnsi="宋体" w:eastAsia="宋体" w:cs="宋体"/>
          <w:sz w:val="28"/>
          <w:szCs w:val="28"/>
        </w:rPr>
        <w:t>- 仓库范围权限</w:t>
      </w:r>
    </w:p>
    <w:p>
      <w:r>
        <w:rPr>
          <w:rFonts w:ascii="宋体" w:hAnsi="宋体" w:eastAsia="宋体" w:cs="宋体"/>
          <w:sz w:val="28"/>
          <w:szCs w:val="28"/>
        </w:rPr>
        <w:t>- 单据状态权限</w:t>
      </w:r>
    </w:p>
    <w:p>
      <w:r>
        <w:rPr>
          <w:rFonts w:ascii="宋体" w:hAnsi="宋体" w:eastAsia="宋体" w:cs="宋体"/>
          <w:sz w:val="28"/>
          <w:szCs w:val="28"/>
        </w:rPr>
        <w:t>- 数据查看范围权限</w:t>
      </w:r>
    </w:p>
    <w:p>
      <w:r>
        <w:rPr>
          <w:rFonts w:ascii="宋体" w:hAnsi="宋体" w:eastAsia="宋体" w:cs="宋体"/>
          <w:sz w:val="28"/>
          <w:szCs w:val="28"/>
        </w:rPr>
        <w:t>- 审批额度权限</w:t>
      </w:r>
    </w:p>
    <w:p>
      <w:r>
        <w:rPr>
          <w:rFonts w:ascii="宋体" w:hAnsi="宋体" w:eastAsia="宋体" w:cs="宋体"/>
          <w:sz w:val="28"/>
          <w:szCs w:val="28"/>
        </w:rPr>
        <w:t>- 特殊物资专项权限</w:t>
      </w:r>
    </w:p>
    <w:p>
      <w:r>
        <w:rPr>
          <w:rFonts w:ascii="宋体" w:hAnsi="宋体" w:eastAsia="宋体" w:cs="宋体"/>
          <w:sz w:val="28"/>
          <w:szCs w:val="28"/>
        </w:rPr>
        <w:t>- 接口管理权限</w:t>
      </w:r>
    </w:p>
    <w:p>
      <w:r>
        <w:rPr>
          <w:rFonts w:ascii="宋体" w:hAnsi="宋体" w:eastAsia="宋体" w:cs="宋体"/>
          <w:sz w:val="28"/>
          <w:szCs w:val="28"/>
        </w:rPr>
        <w:t>- 月结与反结专项权限</w:t>
      </w:r>
    </w:p>
    <w:p>
      <w:r>
        <w:rPr>
          <w:rFonts w:ascii="宋体" w:hAnsi="宋体" w:eastAsia="宋体" w:cs="宋体"/>
          <w:sz w:val="28"/>
          <w:szCs w:val="28"/>
        </w:rPr>
        <w:t>投标方应在系统设计中预留以上细化能力。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